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306D4" w14:textId="3B12421A" w:rsidR="00224164" w:rsidRPr="00500FF4" w:rsidRDefault="00224164" w:rsidP="00224164">
      <w:pPr>
        <w:rPr>
          <w:b/>
          <w:bCs/>
          <w:sz w:val="24"/>
          <w:szCs w:val="24"/>
        </w:rPr>
      </w:pPr>
      <w:r w:rsidRPr="00500FF4">
        <w:rPr>
          <w:b/>
          <w:bCs/>
          <w:sz w:val="24"/>
          <w:szCs w:val="24"/>
        </w:rPr>
        <w:t>Pädevuse hindamine</w:t>
      </w:r>
    </w:p>
    <w:p w14:paraId="0F8263B0" w14:textId="34C35E52" w:rsidR="00224164" w:rsidRPr="00500FF4" w:rsidRDefault="00224164" w:rsidP="00DD76DF">
      <w:pPr>
        <w:jc w:val="both"/>
        <w:rPr>
          <w:sz w:val="18"/>
          <w:szCs w:val="18"/>
        </w:rPr>
      </w:pPr>
      <w:r w:rsidRPr="00500FF4">
        <w:rPr>
          <w:sz w:val="18"/>
          <w:szCs w:val="18"/>
        </w:rPr>
        <w:t>Eesti Anestesioloogide Selts</w:t>
      </w:r>
      <w:r w:rsidR="004B4F57">
        <w:rPr>
          <w:sz w:val="18"/>
          <w:szCs w:val="18"/>
        </w:rPr>
        <w:t xml:space="preserve"> (EAS)</w:t>
      </w:r>
      <w:r w:rsidRPr="00500FF4">
        <w:rPr>
          <w:sz w:val="18"/>
          <w:szCs w:val="18"/>
        </w:rPr>
        <w:t xml:space="preserve"> on Eestis töötavate anestesioloogide pädevust hinnanud aastast 2003, kui EAS juhatus kinnitas 14. aprilli koosolekul oma otsusega “Eesti anestesioloogide pädevuse hindamise korra ja kriteeriumid.” Otsus tugines seaduses sätestatule ning seltsi põhikirjale. </w:t>
      </w:r>
    </w:p>
    <w:p w14:paraId="27947B4F" w14:textId="73B1412F" w:rsidR="008F57FE" w:rsidRDefault="00224164" w:rsidP="00DD76DF">
      <w:pPr>
        <w:jc w:val="both"/>
        <w:rPr>
          <w:sz w:val="18"/>
          <w:szCs w:val="18"/>
        </w:rPr>
      </w:pPr>
      <w:r w:rsidRPr="00500FF4">
        <w:rPr>
          <w:sz w:val="18"/>
          <w:szCs w:val="18"/>
        </w:rPr>
        <w:t xml:space="preserve">Seltsi juhatuse koosoleku </w:t>
      </w:r>
      <w:r w:rsidRPr="00DD76DF">
        <w:rPr>
          <w:sz w:val="18"/>
          <w:szCs w:val="18"/>
        </w:rPr>
        <w:t xml:space="preserve">otsusega </w:t>
      </w:r>
      <w:r w:rsidR="009B77F7">
        <w:rPr>
          <w:sz w:val="18"/>
          <w:szCs w:val="18"/>
        </w:rPr>
        <w:t>09</w:t>
      </w:r>
      <w:r w:rsidRPr="00DD76DF">
        <w:rPr>
          <w:sz w:val="18"/>
          <w:szCs w:val="18"/>
        </w:rPr>
        <w:t>.</w:t>
      </w:r>
      <w:r w:rsidR="009B77F7">
        <w:rPr>
          <w:sz w:val="18"/>
          <w:szCs w:val="18"/>
        </w:rPr>
        <w:t xml:space="preserve"> juunil </w:t>
      </w:r>
      <w:r w:rsidRPr="00DD76DF">
        <w:rPr>
          <w:sz w:val="18"/>
          <w:szCs w:val="18"/>
        </w:rPr>
        <w:t xml:space="preserve">2025 </w:t>
      </w:r>
      <w:r w:rsidR="00AB5DA9" w:rsidRPr="00500FF4">
        <w:rPr>
          <w:sz w:val="18"/>
          <w:szCs w:val="18"/>
        </w:rPr>
        <w:t xml:space="preserve">on </w:t>
      </w:r>
      <w:r w:rsidRPr="00500FF4">
        <w:rPr>
          <w:sz w:val="18"/>
          <w:szCs w:val="18"/>
        </w:rPr>
        <w:t xml:space="preserve">uuendatud pädevuse hindamise kord ja kriteeriumid vastavalt kehtivatele seadustele* ning seltsi põhikirjale**.  </w:t>
      </w:r>
      <w:r w:rsidR="00DD76DF" w:rsidRPr="009B77F7">
        <w:rPr>
          <w:sz w:val="18"/>
          <w:szCs w:val="18"/>
        </w:rPr>
        <w:t xml:space="preserve">Eesti Anestesioloogide </w:t>
      </w:r>
      <w:r w:rsidR="00D81A68" w:rsidRPr="009B77F7">
        <w:rPr>
          <w:sz w:val="18"/>
          <w:szCs w:val="18"/>
        </w:rPr>
        <w:t>Selts hindab pädevust T</w:t>
      </w:r>
      <w:r w:rsidR="00954549" w:rsidRPr="009B77F7">
        <w:rPr>
          <w:sz w:val="18"/>
          <w:szCs w:val="18"/>
        </w:rPr>
        <w:t>erviseameti</w:t>
      </w:r>
      <w:r w:rsidR="0002091C" w:rsidRPr="009B77F7">
        <w:rPr>
          <w:sz w:val="18"/>
          <w:szCs w:val="18"/>
        </w:rPr>
        <w:t xml:space="preserve"> tervishoiutöötajate registri</w:t>
      </w:r>
      <w:r w:rsidR="00954549" w:rsidRPr="009B77F7">
        <w:rPr>
          <w:sz w:val="18"/>
          <w:szCs w:val="18"/>
        </w:rPr>
        <w:t xml:space="preserve">s </w:t>
      </w:r>
      <w:r w:rsidR="0002091C" w:rsidRPr="009B77F7">
        <w:rPr>
          <w:sz w:val="18"/>
          <w:szCs w:val="18"/>
        </w:rPr>
        <w:t xml:space="preserve">anestesioloogi kutsega </w:t>
      </w:r>
      <w:r w:rsidR="00D81A68" w:rsidRPr="009B77F7">
        <w:rPr>
          <w:sz w:val="18"/>
          <w:szCs w:val="18"/>
        </w:rPr>
        <w:t xml:space="preserve">registreeritud </w:t>
      </w:r>
      <w:r w:rsidR="008F57FE" w:rsidRPr="009B77F7">
        <w:rPr>
          <w:sz w:val="18"/>
          <w:szCs w:val="18"/>
        </w:rPr>
        <w:t>eriarstidel.</w:t>
      </w:r>
    </w:p>
    <w:p w14:paraId="13A869E6" w14:textId="3638530D" w:rsidR="00224164" w:rsidRPr="00500FF4" w:rsidRDefault="00224164" w:rsidP="00DD76DF">
      <w:pPr>
        <w:jc w:val="both"/>
        <w:rPr>
          <w:sz w:val="18"/>
          <w:szCs w:val="18"/>
        </w:rPr>
      </w:pPr>
      <w:r w:rsidRPr="00500FF4">
        <w:rPr>
          <w:sz w:val="18"/>
          <w:szCs w:val="18"/>
        </w:rPr>
        <w:t>Pädevuseks esitatavad dokumendid tuleb saata EAS juhatuse sekretärile aadressile</w:t>
      </w:r>
      <w:r w:rsidR="00664D6C">
        <w:rPr>
          <w:sz w:val="18"/>
          <w:szCs w:val="18"/>
        </w:rPr>
        <w:t xml:space="preserve"> </w:t>
      </w:r>
      <w:hyperlink r:id="rId5" w:history="1">
        <w:r w:rsidR="00664D6C" w:rsidRPr="002711AA">
          <w:rPr>
            <w:rStyle w:val="Hperlink"/>
            <w:sz w:val="18"/>
            <w:szCs w:val="18"/>
          </w:rPr>
          <w:t>info@anest.ee</w:t>
        </w:r>
      </w:hyperlink>
      <w:r w:rsidR="00814BDF">
        <w:rPr>
          <w:sz w:val="18"/>
          <w:szCs w:val="18"/>
        </w:rPr>
        <w:t>. P</w:t>
      </w:r>
      <w:r w:rsidRPr="00500FF4">
        <w:rPr>
          <w:sz w:val="18"/>
          <w:szCs w:val="18"/>
        </w:rPr>
        <w:t>ädevuse hindamise komisjoniks on Seltsi juhatus, kes teeb otsused juhatuse koosolekutel, mis toimuvad reeglina kord kvartalis. Komisjon võib vajadusel pädevuse taotlejalt küsida lisaküsimus</w:t>
      </w:r>
      <w:r w:rsidR="00D81A68">
        <w:rPr>
          <w:sz w:val="18"/>
          <w:szCs w:val="18"/>
        </w:rPr>
        <w:t>i</w:t>
      </w:r>
      <w:r w:rsidRPr="00500FF4">
        <w:rPr>
          <w:sz w:val="18"/>
          <w:szCs w:val="18"/>
        </w:rPr>
        <w:t xml:space="preserve">/-dokumente. </w:t>
      </w:r>
    </w:p>
    <w:p w14:paraId="3EF347B7" w14:textId="77777777" w:rsidR="00224164" w:rsidRPr="00500FF4" w:rsidRDefault="00224164" w:rsidP="00DD76DF">
      <w:pPr>
        <w:jc w:val="both"/>
        <w:rPr>
          <w:sz w:val="18"/>
          <w:szCs w:val="18"/>
        </w:rPr>
      </w:pPr>
      <w:r w:rsidRPr="00500FF4">
        <w:rPr>
          <w:sz w:val="18"/>
          <w:szCs w:val="18"/>
        </w:rPr>
        <w:t>EAS juhatus</w:t>
      </w:r>
    </w:p>
    <w:p w14:paraId="161302F0" w14:textId="31A95DC2" w:rsidR="00224164" w:rsidRPr="00500FF4" w:rsidRDefault="009B77F7" w:rsidP="00DD76DF">
      <w:pPr>
        <w:jc w:val="both"/>
        <w:rPr>
          <w:sz w:val="18"/>
          <w:szCs w:val="18"/>
        </w:rPr>
      </w:pPr>
      <w:r>
        <w:rPr>
          <w:sz w:val="18"/>
          <w:szCs w:val="18"/>
        </w:rPr>
        <w:t>Juuni</w:t>
      </w:r>
      <w:r w:rsidR="00224164" w:rsidRPr="00500FF4">
        <w:rPr>
          <w:sz w:val="18"/>
          <w:szCs w:val="18"/>
        </w:rPr>
        <w:t xml:space="preserve"> 2025</w:t>
      </w:r>
    </w:p>
    <w:p w14:paraId="7264614A" w14:textId="77777777" w:rsidR="00224164" w:rsidRDefault="00224164" w:rsidP="00224164">
      <w:pPr>
        <w:rPr>
          <w:sz w:val="18"/>
          <w:szCs w:val="18"/>
        </w:rPr>
      </w:pPr>
    </w:p>
    <w:p w14:paraId="0C8FA4D3" w14:textId="77777777" w:rsidR="00B2793F" w:rsidRPr="00500FF4" w:rsidRDefault="00B2793F" w:rsidP="00224164">
      <w:pPr>
        <w:rPr>
          <w:sz w:val="18"/>
          <w:szCs w:val="18"/>
        </w:rPr>
      </w:pPr>
    </w:p>
    <w:p w14:paraId="0FF54541" w14:textId="25F5F91D" w:rsidR="00224164" w:rsidRPr="00500FF4" w:rsidRDefault="00224164" w:rsidP="00FC3BF2">
      <w:pPr>
        <w:jc w:val="both"/>
        <w:rPr>
          <w:sz w:val="18"/>
          <w:szCs w:val="18"/>
        </w:rPr>
      </w:pPr>
      <w:r w:rsidRPr="00500FF4">
        <w:rPr>
          <w:sz w:val="18"/>
          <w:szCs w:val="18"/>
        </w:rPr>
        <w:t xml:space="preserve">* Määrus </w:t>
      </w:r>
      <w:r w:rsidR="00473FC1">
        <w:rPr>
          <w:sz w:val="18"/>
          <w:szCs w:val="18"/>
        </w:rPr>
        <w:t>„</w:t>
      </w:r>
      <w:r w:rsidRPr="00473FC1">
        <w:rPr>
          <w:sz w:val="18"/>
          <w:szCs w:val="18"/>
        </w:rPr>
        <w:t>Tervishoiuteenuste kvaliteedi ja patsiendiohutuse tagamise nõuded</w:t>
      </w:r>
      <w:r w:rsidR="00473FC1">
        <w:rPr>
          <w:sz w:val="18"/>
          <w:szCs w:val="18"/>
        </w:rPr>
        <w:t>“</w:t>
      </w:r>
      <w:r w:rsidRPr="00500FF4">
        <w:rPr>
          <w:b/>
          <w:bCs/>
          <w:sz w:val="18"/>
          <w:szCs w:val="18"/>
        </w:rPr>
        <w:t xml:space="preserve"> </w:t>
      </w:r>
      <w:r w:rsidRPr="00500FF4">
        <w:rPr>
          <w:sz w:val="18"/>
          <w:szCs w:val="18"/>
        </w:rPr>
        <w:t>(vastu võetud 24.10.2024 nr 43 ja kehtestatud </w:t>
      </w:r>
      <w:hyperlink r:id="rId6" w:history="1">
        <w:r w:rsidRPr="00500FF4">
          <w:rPr>
            <w:rStyle w:val="Hperlink"/>
            <w:color w:val="auto"/>
            <w:sz w:val="18"/>
            <w:szCs w:val="18"/>
          </w:rPr>
          <w:t>tervishoiuteenuste korraldamise seaduse</w:t>
        </w:r>
      </w:hyperlink>
      <w:r w:rsidRPr="00500FF4">
        <w:rPr>
          <w:sz w:val="18"/>
          <w:szCs w:val="18"/>
        </w:rPr>
        <w:t> § 3</w:t>
      </w:r>
      <w:r w:rsidRPr="00500FF4">
        <w:rPr>
          <w:sz w:val="18"/>
          <w:szCs w:val="18"/>
          <w:vertAlign w:val="superscript"/>
        </w:rPr>
        <w:t>2</w:t>
      </w:r>
      <w:r w:rsidRPr="00500FF4">
        <w:rPr>
          <w:sz w:val="18"/>
          <w:szCs w:val="18"/>
        </w:rPr>
        <w:t> lõike 9 alusel):</w:t>
      </w:r>
    </w:p>
    <w:p w14:paraId="4F6E7B58" w14:textId="77777777" w:rsidR="00224164" w:rsidRPr="00500FF4" w:rsidRDefault="00224164" w:rsidP="00FC3BF2">
      <w:pPr>
        <w:jc w:val="both"/>
        <w:rPr>
          <w:sz w:val="18"/>
          <w:szCs w:val="18"/>
        </w:rPr>
      </w:pPr>
      <w:r w:rsidRPr="00500FF4">
        <w:rPr>
          <w:sz w:val="18"/>
          <w:szCs w:val="18"/>
        </w:rPr>
        <w:t>§ 4 lõige (10): Tervishoiutöötajate ja tervishoiutöötajaga võrdsustatud isikute kutsealase ja erialase pädevuse nõuded loetakse täidetuks, kui need vastavad asjaomase kutse- või erialaühenduse või tervishoiuteenuse osutajate ühenduse poolt välja töötatud kriteeriumitele ja on hinnatud kindlaks määratud sagedusega.</w:t>
      </w:r>
    </w:p>
    <w:p w14:paraId="5C7EC9AA" w14:textId="77777777" w:rsidR="00224164" w:rsidRDefault="00224164" w:rsidP="00FC3BF2">
      <w:pPr>
        <w:jc w:val="both"/>
        <w:rPr>
          <w:sz w:val="18"/>
          <w:szCs w:val="18"/>
        </w:rPr>
      </w:pPr>
      <w:r w:rsidRPr="00500FF4">
        <w:rPr>
          <w:sz w:val="18"/>
          <w:szCs w:val="18"/>
        </w:rPr>
        <w:t>§ 4 (3) Tervishoiuteenuse osutaja tagab täistööajaga töötavale tervishoiutöötajale ja tervishoiutöötajaga võrdsustatud töötajale tööga seotud ja erialase täiendkoolitamise vähemalt 60 tunni ulatuses ühes kalendriaastas, välja arvatud käesolevas paragrahvis sätestatud erijuhtudel. Osalise tööajaga töötajale tagatakse täiendkoolitamine proportsionaalselt tööajaga.</w:t>
      </w:r>
    </w:p>
    <w:p w14:paraId="28DEE087" w14:textId="77777777" w:rsidR="00473FC1" w:rsidRPr="00500FF4" w:rsidRDefault="00473FC1" w:rsidP="00FC3BF2">
      <w:pPr>
        <w:jc w:val="both"/>
        <w:rPr>
          <w:sz w:val="18"/>
          <w:szCs w:val="18"/>
        </w:rPr>
      </w:pPr>
    </w:p>
    <w:p w14:paraId="69814AE8" w14:textId="77777777" w:rsidR="00F951DB" w:rsidRDefault="00224164" w:rsidP="00EB3A37">
      <w:pPr>
        <w:rPr>
          <w:sz w:val="18"/>
          <w:szCs w:val="18"/>
        </w:rPr>
      </w:pPr>
      <w:r w:rsidRPr="00500FF4">
        <w:rPr>
          <w:sz w:val="18"/>
          <w:szCs w:val="18"/>
        </w:rPr>
        <w:t xml:space="preserve">** Eesti Anestesioloogide Seltsi põhikirja punkt 1.2.: </w:t>
      </w:r>
    </w:p>
    <w:p w14:paraId="070B71C7" w14:textId="20239CD2" w:rsidR="00224164" w:rsidRPr="00500FF4" w:rsidRDefault="00224164" w:rsidP="00F951DB">
      <w:pPr>
        <w:rPr>
          <w:i/>
          <w:iCs/>
          <w:sz w:val="18"/>
          <w:szCs w:val="18"/>
        </w:rPr>
      </w:pPr>
      <w:r w:rsidRPr="00500FF4">
        <w:rPr>
          <w:i/>
          <w:iCs/>
          <w:sz w:val="18"/>
          <w:szCs w:val="18"/>
        </w:rPr>
        <w:t>Seltsi eesmärkideks on:</w:t>
      </w:r>
      <w:r w:rsidRPr="00500FF4">
        <w:rPr>
          <w:sz w:val="18"/>
          <w:szCs w:val="18"/>
        </w:rPr>
        <w:t xml:space="preserve"> </w:t>
      </w:r>
      <w:r w:rsidRPr="00500FF4">
        <w:rPr>
          <w:sz w:val="18"/>
          <w:szCs w:val="18"/>
        </w:rPr>
        <w:br/>
      </w:r>
      <w:r w:rsidRPr="00500FF4">
        <w:rPr>
          <w:i/>
          <w:iCs/>
          <w:sz w:val="18"/>
          <w:szCs w:val="18"/>
        </w:rPr>
        <w:t>1.2.1. Seltsi liikmete erialase ettevalmistuse parandamine ja kontrollimine, teadussaavutuste propageerimine ja praktikasse juurutamine anestesioloogia ja intensiivravi alal, ettepanekute tegemine tervishoiu ja arstiabikorralduse täiustamiseks ning ravikvaliteedi parandamiseks;</w:t>
      </w:r>
      <w:r w:rsidRPr="00500FF4">
        <w:rPr>
          <w:sz w:val="18"/>
          <w:szCs w:val="18"/>
        </w:rPr>
        <w:t xml:space="preserve"> </w:t>
      </w:r>
      <w:r w:rsidRPr="00500FF4">
        <w:rPr>
          <w:sz w:val="18"/>
          <w:szCs w:val="18"/>
        </w:rPr>
        <w:br/>
      </w:r>
      <w:r w:rsidRPr="00500FF4">
        <w:rPr>
          <w:i/>
          <w:iCs/>
          <w:sz w:val="18"/>
          <w:szCs w:val="18"/>
        </w:rPr>
        <w:t>1.2.3. osavõtt anestesioloogia ja intensiivravi alase erialase koolituse ja teadustöö koordineerimisest ja planeerimisest;</w:t>
      </w:r>
      <w:r w:rsidRPr="00500FF4">
        <w:rPr>
          <w:sz w:val="18"/>
          <w:szCs w:val="18"/>
        </w:rPr>
        <w:t xml:space="preserve"> </w:t>
      </w:r>
      <w:r w:rsidRPr="00500FF4">
        <w:rPr>
          <w:sz w:val="18"/>
          <w:szCs w:val="18"/>
        </w:rPr>
        <w:br/>
      </w:r>
      <w:r w:rsidRPr="00500FF4">
        <w:rPr>
          <w:i/>
          <w:iCs/>
          <w:sz w:val="18"/>
          <w:szCs w:val="18"/>
        </w:rPr>
        <w:t>1.2.4. osavõtt erialaste standardite ja ravijuhiste väljatöötamisest;</w:t>
      </w:r>
    </w:p>
    <w:p w14:paraId="34AC3C55" w14:textId="77777777" w:rsidR="00562BC1" w:rsidRDefault="00562BC1">
      <w:pPr>
        <w:rPr>
          <w:b/>
          <w:bCs/>
          <w:sz w:val="24"/>
          <w:szCs w:val="24"/>
        </w:rPr>
      </w:pPr>
      <w:r>
        <w:rPr>
          <w:b/>
          <w:bCs/>
          <w:sz w:val="24"/>
          <w:szCs w:val="24"/>
        </w:rPr>
        <w:br w:type="page"/>
      </w:r>
    </w:p>
    <w:p w14:paraId="336B946B" w14:textId="34449875" w:rsidR="00562BC1" w:rsidRPr="002948FD" w:rsidRDefault="00562BC1" w:rsidP="00562BC1">
      <w:pPr>
        <w:rPr>
          <w:sz w:val="24"/>
          <w:szCs w:val="24"/>
        </w:rPr>
      </w:pPr>
      <w:r w:rsidRPr="002948FD">
        <w:rPr>
          <w:b/>
          <w:bCs/>
          <w:sz w:val="24"/>
          <w:szCs w:val="24"/>
        </w:rPr>
        <w:lastRenderedPageBreak/>
        <w:t>Pädevuse hindamiseks esitatavad dokumendid</w:t>
      </w:r>
      <w:r w:rsidR="00224E58">
        <w:rPr>
          <w:b/>
          <w:bCs/>
          <w:sz w:val="24"/>
          <w:szCs w:val="24"/>
        </w:rPr>
        <w:t>:</w:t>
      </w:r>
    </w:p>
    <w:p w14:paraId="7746BAB9" w14:textId="77777777" w:rsidR="00ED3AD9" w:rsidRDefault="00562BC1" w:rsidP="00BD3CDD">
      <w:pPr>
        <w:pStyle w:val="Loendilik"/>
        <w:numPr>
          <w:ilvl w:val="0"/>
          <w:numId w:val="3"/>
        </w:numPr>
        <w:jc w:val="both"/>
        <w:rPr>
          <w:sz w:val="18"/>
          <w:szCs w:val="18"/>
        </w:rPr>
      </w:pPr>
      <w:r w:rsidRPr="00224E58">
        <w:rPr>
          <w:sz w:val="18"/>
          <w:szCs w:val="18"/>
        </w:rPr>
        <w:t>Isiklik avaldus</w:t>
      </w:r>
    </w:p>
    <w:p w14:paraId="3865FEAD" w14:textId="2A5CB1F3" w:rsidR="00ED3AD9" w:rsidRPr="00ED3AD9" w:rsidRDefault="00305B5C" w:rsidP="00BD3CDD">
      <w:pPr>
        <w:pStyle w:val="Loendilik"/>
        <w:numPr>
          <w:ilvl w:val="0"/>
          <w:numId w:val="3"/>
        </w:numPr>
        <w:jc w:val="both"/>
        <w:rPr>
          <w:sz w:val="18"/>
          <w:szCs w:val="18"/>
        </w:rPr>
      </w:pPr>
      <w:r w:rsidRPr="00224E58">
        <w:rPr>
          <w:sz w:val="18"/>
          <w:szCs w:val="18"/>
        </w:rPr>
        <w:t>Elulookirjeldus</w:t>
      </w:r>
    </w:p>
    <w:p w14:paraId="085B6D6D" w14:textId="77777777" w:rsidR="00ED3AD9" w:rsidRDefault="00562BC1" w:rsidP="00BD3CDD">
      <w:pPr>
        <w:pStyle w:val="Loendilik"/>
        <w:numPr>
          <w:ilvl w:val="0"/>
          <w:numId w:val="3"/>
        </w:numPr>
        <w:jc w:val="both"/>
        <w:rPr>
          <w:sz w:val="18"/>
          <w:szCs w:val="18"/>
        </w:rPr>
      </w:pPr>
      <w:r w:rsidRPr="00224E58">
        <w:rPr>
          <w:sz w:val="18"/>
          <w:szCs w:val="18"/>
        </w:rPr>
        <w:t>Viimase 5 aasta töö aruanne-analüüs, kus peab olema töökoha üldine iseloomustus ning pädevuse taotleja töökoormus (mitmes töökohas töötades töökoormused eraldi välja tuua töökohtade kaupa), isiklik tööpanus ja töö kirjeldus</w:t>
      </w:r>
      <w:r w:rsidRPr="009B77F7">
        <w:rPr>
          <w:sz w:val="18"/>
          <w:szCs w:val="18"/>
        </w:rPr>
        <w:t>.</w:t>
      </w:r>
      <w:r w:rsidR="00691539" w:rsidRPr="009B77F7">
        <w:rPr>
          <w:sz w:val="18"/>
          <w:szCs w:val="18"/>
        </w:rPr>
        <w:t xml:space="preserve"> Töö</w:t>
      </w:r>
      <w:r w:rsidR="00A84EB3" w:rsidRPr="009B77F7">
        <w:rPr>
          <w:sz w:val="18"/>
          <w:szCs w:val="18"/>
        </w:rPr>
        <w:t xml:space="preserve"> </w:t>
      </w:r>
      <w:r w:rsidR="00691539" w:rsidRPr="009B77F7">
        <w:rPr>
          <w:sz w:val="18"/>
          <w:szCs w:val="18"/>
        </w:rPr>
        <w:t>kirjeldus peaks sisaldama ka tõsiste tüsistuste analüüsi.</w:t>
      </w:r>
      <w:r w:rsidR="00691539" w:rsidRPr="00224E58">
        <w:rPr>
          <w:sz w:val="18"/>
          <w:szCs w:val="18"/>
        </w:rPr>
        <w:t xml:space="preserve"> </w:t>
      </w:r>
      <w:r w:rsidRPr="00224E58">
        <w:rPr>
          <w:sz w:val="18"/>
          <w:szCs w:val="18"/>
        </w:rPr>
        <w:t xml:space="preserve"> Isiklikku tööpanust täpselt kirjeldavad arvandmed (anesteesiate arv ja kestvus; intensiivraviosakonna tööd iseloomustav statistika ja koormuste jaotus, intensiivravi protseduuride arv, -meetodite valdamine; ambulatoorse vastuvõtu maht ja sisu; reanimobiiliteenistuse valvete arv, väljasõitude hulk ja iseloom) võib esitada lisatabelitena. Töö</w:t>
      </w:r>
      <w:r w:rsidR="0018581A" w:rsidRPr="00224E58">
        <w:rPr>
          <w:sz w:val="18"/>
          <w:szCs w:val="18"/>
        </w:rPr>
        <w:t xml:space="preserve">koha </w:t>
      </w:r>
      <w:r w:rsidRPr="00224E58">
        <w:rPr>
          <w:sz w:val="18"/>
          <w:szCs w:val="18"/>
        </w:rPr>
        <w:t>aruanne peab olema kinnitatud raviasutuse vastutava isiku poolt.</w:t>
      </w:r>
    </w:p>
    <w:p w14:paraId="76F21F4B" w14:textId="77777777" w:rsidR="00ED3AD9" w:rsidRDefault="00A539E7" w:rsidP="00BD3CDD">
      <w:pPr>
        <w:pStyle w:val="Loendilik"/>
        <w:numPr>
          <w:ilvl w:val="0"/>
          <w:numId w:val="3"/>
        </w:numPr>
        <w:jc w:val="both"/>
        <w:rPr>
          <w:sz w:val="18"/>
          <w:szCs w:val="18"/>
        </w:rPr>
      </w:pPr>
      <w:r w:rsidRPr="00224E58">
        <w:rPr>
          <w:sz w:val="18"/>
          <w:szCs w:val="18"/>
        </w:rPr>
        <w:t xml:space="preserve">Kogutud </w:t>
      </w:r>
      <w:r w:rsidR="00DF0862" w:rsidRPr="00224E58">
        <w:rPr>
          <w:sz w:val="18"/>
          <w:szCs w:val="18"/>
        </w:rPr>
        <w:t>täienduspunktid</w:t>
      </w:r>
      <w:r w:rsidR="00AF728C" w:rsidRPr="00224E58">
        <w:rPr>
          <w:sz w:val="18"/>
          <w:szCs w:val="18"/>
        </w:rPr>
        <w:t>e</w:t>
      </w:r>
      <w:r w:rsidR="00B6238E" w:rsidRPr="00224E58">
        <w:rPr>
          <w:sz w:val="18"/>
          <w:szCs w:val="18"/>
        </w:rPr>
        <w:t xml:space="preserve"> </w:t>
      </w:r>
      <w:r w:rsidR="00562BC1" w:rsidRPr="00224E58">
        <w:rPr>
          <w:sz w:val="18"/>
          <w:szCs w:val="18"/>
        </w:rPr>
        <w:t>andmed tabelina (Lisa 1).</w:t>
      </w:r>
    </w:p>
    <w:p w14:paraId="7872F259" w14:textId="14821A32" w:rsidR="00ED3AD9" w:rsidRPr="009B77F7" w:rsidRDefault="00DF0862" w:rsidP="00BD3CDD">
      <w:pPr>
        <w:pStyle w:val="Loendilik"/>
        <w:numPr>
          <w:ilvl w:val="0"/>
          <w:numId w:val="3"/>
        </w:numPr>
        <w:jc w:val="both"/>
        <w:rPr>
          <w:sz w:val="18"/>
          <w:szCs w:val="18"/>
        </w:rPr>
      </w:pPr>
      <w:r w:rsidRPr="00224E58">
        <w:rPr>
          <w:sz w:val="18"/>
          <w:szCs w:val="18"/>
        </w:rPr>
        <w:t>T</w:t>
      </w:r>
      <w:r w:rsidR="0040001E" w:rsidRPr="00224E58">
        <w:rPr>
          <w:sz w:val="18"/>
          <w:szCs w:val="18"/>
        </w:rPr>
        <w:t>ööandja poolt väljastatud t</w:t>
      </w:r>
      <w:r w:rsidRPr="00224E58">
        <w:rPr>
          <w:sz w:val="18"/>
          <w:szCs w:val="18"/>
        </w:rPr>
        <w:t>äienduskoolitus</w:t>
      </w:r>
      <w:r w:rsidR="00B33E0C" w:rsidRPr="00224E58">
        <w:rPr>
          <w:sz w:val="18"/>
          <w:szCs w:val="18"/>
        </w:rPr>
        <w:t>t</w:t>
      </w:r>
      <w:r w:rsidRPr="00224E58">
        <w:rPr>
          <w:sz w:val="18"/>
          <w:szCs w:val="18"/>
        </w:rPr>
        <w:t>e</w:t>
      </w:r>
      <w:r w:rsidR="00B33E0C" w:rsidRPr="00224E58">
        <w:rPr>
          <w:sz w:val="18"/>
          <w:szCs w:val="18"/>
        </w:rPr>
        <w:t xml:space="preserve"> läbimise</w:t>
      </w:r>
      <w:r w:rsidRPr="00224E58">
        <w:rPr>
          <w:sz w:val="18"/>
          <w:szCs w:val="18"/>
        </w:rPr>
        <w:t xml:space="preserve"> tõend</w:t>
      </w:r>
      <w:r w:rsidR="00B33E0C" w:rsidRPr="00224E58">
        <w:rPr>
          <w:sz w:val="18"/>
          <w:szCs w:val="18"/>
        </w:rPr>
        <w:t xml:space="preserve"> ning</w:t>
      </w:r>
      <w:r w:rsidR="00977013" w:rsidRPr="00224E58">
        <w:rPr>
          <w:sz w:val="18"/>
          <w:szCs w:val="18"/>
        </w:rPr>
        <w:t xml:space="preserve"> </w:t>
      </w:r>
      <w:r w:rsidR="00F93130" w:rsidRPr="00224E58">
        <w:rPr>
          <w:sz w:val="18"/>
          <w:szCs w:val="18"/>
        </w:rPr>
        <w:t>t</w:t>
      </w:r>
      <w:r w:rsidR="00562BC1" w:rsidRPr="00224E58">
        <w:rPr>
          <w:sz w:val="18"/>
          <w:szCs w:val="18"/>
        </w:rPr>
        <w:t>äiendkoolitus</w:t>
      </w:r>
      <w:r w:rsidR="00F14EE9">
        <w:rPr>
          <w:sz w:val="18"/>
          <w:szCs w:val="18"/>
        </w:rPr>
        <w:t>e läbimis</w:t>
      </w:r>
      <w:r w:rsidR="00562BC1" w:rsidRPr="00224E58">
        <w:rPr>
          <w:sz w:val="18"/>
          <w:szCs w:val="18"/>
        </w:rPr>
        <w:t xml:space="preserve">t kinnitavate tunnistuste koopiad koolituste puhul, mis ei ole </w:t>
      </w:r>
      <w:r w:rsidR="00F93130" w:rsidRPr="00224E58">
        <w:rPr>
          <w:sz w:val="18"/>
          <w:szCs w:val="18"/>
        </w:rPr>
        <w:t>loetletud</w:t>
      </w:r>
      <w:r w:rsidR="00562BC1" w:rsidRPr="00224E58">
        <w:rPr>
          <w:sz w:val="18"/>
          <w:szCs w:val="18"/>
        </w:rPr>
        <w:t xml:space="preserve"> tööandja poolt </w:t>
      </w:r>
      <w:r w:rsidR="00562BC1" w:rsidRPr="009B77F7">
        <w:rPr>
          <w:sz w:val="18"/>
          <w:szCs w:val="18"/>
        </w:rPr>
        <w:t>väljastatud koolitustõendil.</w:t>
      </w:r>
    </w:p>
    <w:p w14:paraId="4129A3A3" w14:textId="78525665" w:rsidR="00562BC1" w:rsidRPr="00224E58" w:rsidRDefault="00562BC1" w:rsidP="00BD3CDD">
      <w:pPr>
        <w:pStyle w:val="Loendilik"/>
        <w:numPr>
          <w:ilvl w:val="0"/>
          <w:numId w:val="3"/>
        </w:numPr>
        <w:jc w:val="both"/>
        <w:rPr>
          <w:sz w:val="18"/>
          <w:szCs w:val="18"/>
        </w:rPr>
      </w:pPr>
      <w:r w:rsidRPr="009B77F7">
        <w:rPr>
          <w:sz w:val="18"/>
          <w:szCs w:val="18"/>
        </w:rPr>
        <w:t xml:space="preserve">Kviitung pädevuse hindamise tasu maksmise kohta EAS arvele. EAS liikmetel </w:t>
      </w:r>
      <w:r w:rsidR="00691539" w:rsidRPr="009B77F7">
        <w:rPr>
          <w:sz w:val="18"/>
          <w:szCs w:val="18"/>
        </w:rPr>
        <w:t>21</w:t>
      </w:r>
      <w:r w:rsidRPr="009B77F7">
        <w:rPr>
          <w:color w:val="FF0000"/>
          <w:sz w:val="18"/>
          <w:szCs w:val="18"/>
        </w:rPr>
        <w:t xml:space="preserve"> </w:t>
      </w:r>
      <w:r w:rsidRPr="009B77F7">
        <w:rPr>
          <w:sz w:val="18"/>
          <w:szCs w:val="18"/>
        </w:rPr>
        <w:t>EUR, mitteliikmetel 63</w:t>
      </w:r>
      <w:r w:rsidRPr="009B77F7">
        <w:rPr>
          <w:color w:val="FF0000"/>
          <w:sz w:val="18"/>
          <w:szCs w:val="18"/>
        </w:rPr>
        <w:t xml:space="preserve"> </w:t>
      </w:r>
      <w:r w:rsidRPr="009B77F7">
        <w:rPr>
          <w:sz w:val="18"/>
          <w:szCs w:val="18"/>
        </w:rPr>
        <w:t>EUR</w:t>
      </w:r>
      <w:r w:rsidRPr="00224E58">
        <w:rPr>
          <w:sz w:val="18"/>
          <w:szCs w:val="18"/>
        </w:rPr>
        <w:t>. </w:t>
      </w:r>
    </w:p>
    <w:p w14:paraId="061FDA42" w14:textId="37E6DBBB" w:rsidR="00562BC1" w:rsidRPr="002948FD" w:rsidRDefault="00562BC1" w:rsidP="00A62DFD">
      <w:pPr>
        <w:jc w:val="both"/>
        <w:rPr>
          <w:strike/>
          <w:sz w:val="18"/>
          <w:szCs w:val="18"/>
        </w:rPr>
      </w:pPr>
      <w:r w:rsidRPr="002948FD">
        <w:rPr>
          <w:sz w:val="18"/>
          <w:szCs w:val="18"/>
        </w:rPr>
        <w:t xml:space="preserve">Pädevuse hindamiseks </w:t>
      </w:r>
      <w:r w:rsidRPr="009B77F7">
        <w:rPr>
          <w:sz w:val="18"/>
          <w:szCs w:val="18"/>
        </w:rPr>
        <w:t>palume dokumendid</w:t>
      </w:r>
      <w:r w:rsidR="00E946AE" w:rsidRPr="009B77F7">
        <w:rPr>
          <w:sz w:val="18"/>
          <w:szCs w:val="18"/>
        </w:rPr>
        <w:t xml:space="preserve"> </w:t>
      </w:r>
      <w:r w:rsidR="00C516DA" w:rsidRPr="009B77F7">
        <w:rPr>
          <w:sz w:val="18"/>
          <w:szCs w:val="18"/>
        </w:rPr>
        <w:t xml:space="preserve">koondada </w:t>
      </w:r>
      <w:r w:rsidR="00601478">
        <w:rPr>
          <w:sz w:val="18"/>
          <w:szCs w:val="18"/>
        </w:rPr>
        <w:t>ühte digitaliseeritud ümbrikusse, milles dokumendid on nummerdatud ülaltoodud järjestuse</w:t>
      </w:r>
      <w:r w:rsidR="008B5ADB">
        <w:rPr>
          <w:sz w:val="18"/>
          <w:szCs w:val="18"/>
        </w:rPr>
        <w:t xml:space="preserve"> alusel</w:t>
      </w:r>
      <w:r w:rsidR="00B21848">
        <w:rPr>
          <w:sz w:val="18"/>
          <w:szCs w:val="18"/>
        </w:rPr>
        <w:t>,</w:t>
      </w:r>
      <w:r w:rsidR="00601478">
        <w:rPr>
          <w:sz w:val="18"/>
          <w:szCs w:val="18"/>
        </w:rPr>
        <w:t xml:space="preserve"> või koondada </w:t>
      </w:r>
      <w:r w:rsidR="007663C4">
        <w:rPr>
          <w:sz w:val="18"/>
          <w:szCs w:val="18"/>
        </w:rPr>
        <w:t xml:space="preserve">dokumendid </w:t>
      </w:r>
      <w:r w:rsidR="00C516DA" w:rsidRPr="009B77F7">
        <w:rPr>
          <w:sz w:val="18"/>
          <w:szCs w:val="18"/>
        </w:rPr>
        <w:t xml:space="preserve">ühte </w:t>
      </w:r>
      <w:proofErr w:type="spellStart"/>
      <w:r w:rsidR="00C516DA" w:rsidRPr="009B77F7">
        <w:rPr>
          <w:sz w:val="18"/>
          <w:szCs w:val="18"/>
        </w:rPr>
        <w:t>pdf</w:t>
      </w:r>
      <w:proofErr w:type="spellEnd"/>
      <w:r w:rsidR="00C516DA" w:rsidRPr="009B77F7">
        <w:rPr>
          <w:sz w:val="18"/>
          <w:szCs w:val="18"/>
        </w:rPr>
        <w:t>-dokumenti ülal</w:t>
      </w:r>
      <w:r w:rsidR="00E946AE" w:rsidRPr="009B77F7">
        <w:rPr>
          <w:sz w:val="18"/>
          <w:szCs w:val="18"/>
        </w:rPr>
        <w:t>toodud järjestuses</w:t>
      </w:r>
      <w:r w:rsidR="00A62DFD">
        <w:rPr>
          <w:sz w:val="18"/>
          <w:szCs w:val="18"/>
        </w:rPr>
        <w:t xml:space="preserve">. Dokumendid tuleb saata </w:t>
      </w:r>
      <w:r w:rsidR="009B77F7" w:rsidRPr="009B77F7">
        <w:rPr>
          <w:sz w:val="18"/>
          <w:szCs w:val="18"/>
        </w:rPr>
        <w:t xml:space="preserve">digiallkirjastatult </w:t>
      </w:r>
      <w:r w:rsidRPr="009B77F7">
        <w:rPr>
          <w:sz w:val="18"/>
          <w:szCs w:val="18"/>
        </w:rPr>
        <w:t>EA</w:t>
      </w:r>
      <w:r>
        <w:rPr>
          <w:sz w:val="18"/>
          <w:szCs w:val="18"/>
        </w:rPr>
        <w:t xml:space="preserve">S sekretärile aadressile </w:t>
      </w:r>
      <w:hyperlink r:id="rId7" w:history="1">
        <w:r w:rsidRPr="00374406">
          <w:rPr>
            <w:rStyle w:val="Hperlink"/>
            <w:sz w:val="18"/>
            <w:szCs w:val="18"/>
          </w:rPr>
          <w:t>info@anest.ee</w:t>
        </w:r>
      </w:hyperlink>
      <w:r w:rsidR="006D5D6E">
        <w:rPr>
          <w:sz w:val="18"/>
          <w:szCs w:val="18"/>
        </w:rPr>
        <w:t>.</w:t>
      </w:r>
    </w:p>
    <w:p w14:paraId="0F04D4D8" w14:textId="0C0A4F90" w:rsidR="00562BC1" w:rsidRPr="008C507F" w:rsidRDefault="00562BC1" w:rsidP="00E80F25">
      <w:pPr>
        <w:rPr>
          <w:sz w:val="18"/>
          <w:szCs w:val="18"/>
        </w:rPr>
      </w:pPr>
      <w:r w:rsidRPr="002948FD">
        <w:rPr>
          <w:sz w:val="18"/>
          <w:szCs w:val="18"/>
        </w:rPr>
        <w:t>Kinnitatud</w:t>
      </w:r>
      <w:r>
        <w:rPr>
          <w:sz w:val="18"/>
          <w:szCs w:val="18"/>
        </w:rPr>
        <w:t xml:space="preserve"> </w:t>
      </w:r>
      <w:r w:rsidRPr="002948FD">
        <w:rPr>
          <w:sz w:val="18"/>
          <w:szCs w:val="18"/>
        </w:rPr>
        <w:t xml:space="preserve">EAS juhatuse </w:t>
      </w:r>
      <w:r w:rsidRPr="006D5D6E">
        <w:rPr>
          <w:sz w:val="18"/>
          <w:szCs w:val="18"/>
        </w:rPr>
        <w:t xml:space="preserve">koosolekul </w:t>
      </w:r>
      <w:r w:rsidR="00BD083C">
        <w:rPr>
          <w:sz w:val="18"/>
          <w:szCs w:val="18"/>
        </w:rPr>
        <w:t xml:space="preserve">juunis </w:t>
      </w:r>
      <w:r w:rsidRPr="006D5D6E">
        <w:rPr>
          <w:sz w:val="18"/>
          <w:szCs w:val="18"/>
        </w:rPr>
        <w:t>2025.a.</w:t>
      </w:r>
    </w:p>
    <w:p w14:paraId="68F2531E" w14:textId="77777777" w:rsidR="00562BC1" w:rsidRPr="008C507F" w:rsidRDefault="00562BC1" w:rsidP="00AC7D76">
      <w:pPr>
        <w:rPr>
          <w:sz w:val="18"/>
          <w:szCs w:val="18"/>
          <w:highlight w:val="yellow"/>
        </w:rPr>
      </w:pPr>
    </w:p>
    <w:p w14:paraId="6388E516" w14:textId="77777777" w:rsidR="00291A15" w:rsidRPr="008C507F" w:rsidRDefault="00291A15">
      <w:pPr>
        <w:rPr>
          <w:sz w:val="18"/>
          <w:szCs w:val="18"/>
          <w:highlight w:val="yellow"/>
        </w:rPr>
      </w:pPr>
      <w:r w:rsidRPr="008C507F">
        <w:rPr>
          <w:sz w:val="18"/>
          <w:szCs w:val="18"/>
          <w:highlight w:val="yellow"/>
        </w:rPr>
        <w:br w:type="page"/>
      </w:r>
    </w:p>
    <w:p w14:paraId="15036471" w14:textId="77777777" w:rsidR="00291A15" w:rsidRPr="00CF25C0" w:rsidRDefault="00291A15" w:rsidP="00291A15">
      <w:pPr>
        <w:rPr>
          <w:b/>
          <w:bCs/>
          <w:sz w:val="24"/>
          <w:szCs w:val="24"/>
        </w:rPr>
      </w:pPr>
      <w:r w:rsidRPr="00CF25C0">
        <w:rPr>
          <w:b/>
          <w:bCs/>
          <w:sz w:val="24"/>
          <w:szCs w:val="24"/>
        </w:rPr>
        <w:t>Hindamise kord ja kriteeriumid</w:t>
      </w:r>
    </w:p>
    <w:p w14:paraId="3E30F421" w14:textId="77777777" w:rsidR="00291A15" w:rsidRPr="00CF25C0" w:rsidRDefault="00291A15" w:rsidP="00291A15">
      <w:pPr>
        <w:rPr>
          <w:b/>
          <w:bCs/>
          <w:sz w:val="18"/>
          <w:szCs w:val="18"/>
        </w:rPr>
      </w:pPr>
      <w:r w:rsidRPr="00CF25C0">
        <w:rPr>
          <w:b/>
          <w:bCs/>
          <w:sz w:val="18"/>
          <w:szCs w:val="18"/>
        </w:rPr>
        <w:t>Eesti anestesioloogide pädevuse hindamise kord ja kriteeriumid</w:t>
      </w:r>
    </w:p>
    <w:p w14:paraId="53705153" w14:textId="2DFF757B" w:rsidR="0066614B" w:rsidRDefault="00291A15" w:rsidP="00097B31">
      <w:pPr>
        <w:jc w:val="both"/>
        <w:rPr>
          <w:sz w:val="18"/>
          <w:szCs w:val="18"/>
        </w:rPr>
      </w:pPr>
      <w:r w:rsidRPr="00A62DFD">
        <w:rPr>
          <w:sz w:val="18"/>
          <w:szCs w:val="18"/>
        </w:rPr>
        <w:t>Eesti anestesioloogide erialane pädevus (edaspidi pädevus)</w:t>
      </w:r>
      <w:r w:rsidR="00BA7701" w:rsidRPr="00A62DFD">
        <w:rPr>
          <w:sz w:val="18"/>
          <w:szCs w:val="18"/>
        </w:rPr>
        <w:t xml:space="preserve"> kehtib </w:t>
      </w:r>
      <w:r w:rsidR="003C738A" w:rsidRPr="00A62DFD">
        <w:rPr>
          <w:sz w:val="18"/>
          <w:szCs w:val="18"/>
        </w:rPr>
        <w:t xml:space="preserve">üldjuhul </w:t>
      </w:r>
      <w:r w:rsidR="00BA7701" w:rsidRPr="00A62DFD">
        <w:rPr>
          <w:sz w:val="18"/>
          <w:szCs w:val="18"/>
        </w:rPr>
        <w:t>viis aastat.</w:t>
      </w:r>
      <w:r w:rsidRPr="00A62DFD">
        <w:rPr>
          <w:sz w:val="18"/>
          <w:szCs w:val="18"/>
        </w:rPr>
        <w:t xml:space="preserve"> </w:t>
      </w:r>
      <w:r w:rsidR="00A970DD" w:rsidRPr="00A62DFD">
        <w:rPr>
          <w:sz w:val="18"/>
          <w:szCs w:val="18"/>
        </w:rPr>
        <w:t xml:space="preserve">Komisjon võib otsustada </w:t>
      </w:r>
      <w:r w:rsidR="00B77E45" w:rsidRPr="00A62DFD">
        <w:rPr>
          <w:sz w:val="18"/>
          <w:szCs w:val="18"/>
        </w:rPr>
        <w:t xml:space="preserve">anda </w:t>
      </w:r>
      <w:r w:rsidR="00A970DD" w:rsidRPr="00A62DFD">
        <w:rPr>
          <w:sz w:val="18"/>
          <w:szCs w:val="18"/>
        </w:rPr>
        <w:t>pädevus</w:t>
      </w:r>
      <w:r w:rsidR="007F7998" w:rsidRPr="00A62DFD">
        <w:rPr>
          <w:sz w:val="18"/>
          <w:szCs w:val="18"/>
        </w:rPr>
        <w:t>e</w:t>
      </w:r>
      <w:r w:rsidR="00A970DD" w:rsidRPr="00A62DFD">
        <w:rPr>
          <w:sz w:val="18"/>
          <w:szCs w:val="18"/>
        </w:rPr>
        <w:t xml:space="preserve"> lühemaks ajaks kui 5 aastat. </w:t>
      </w:r>
      <w:r w:rsidR="003D7B09" w:rsidRPr="00A62DFD">
        <w:rPr>
          <w:sz w:val="18"/>
          <w:szCs w:val="18"/>
        </w:rPr>
        <w:t xml:space="preserve">Pädevust saab taotleda </w:t>
      </w:r>
      <w:r w:rsidR="004D7AF0" w:rsidRPr="00A62DFD">
        <w:rPr>
          <w:sz w:val="18"/>
          <w:szCs w:val="18"/>
        </w:rPr>
        <w:t>viimase 5 aasta jooksul töötatud perioodiga sama pikaks ajaks</w:t>
      </w:r>
      <w:r w:rsidR="00C45109" w:rsidRPr="00A62DFD">
        <w:rPr>
          <w:sz w:val="18"/>
          <w:szCs w:val="18"/>
        </w:rPr>
        <w:t xml:space="preserve">. </w:t>
      </w:r>
      <w:r w:rsidR="00FD2FA0" w:rsidRPr="00A62DFD">
        <w:rPr>
          <w:sz w:val="18"/>
          <w:szCs w:val="18"/>
        </w:rPr>
        <w:t xml:space="preserve">Pädevus </w:t>
      </w:r>
      <w:r w:rsidRPr="00A62DFD">
        <w:rPr>
          <w:sz w:val="18"/>
          <w:szCs w:val="18"/>
        </w:rPr>
        <w:t xml:space="preserve">kuulub hindamisele, kui </w:t>
      </w:r>
      <w:r w:rsidR="00E42B66" w:rsidRPr="00A62DFD">
        <w:rPr>
          <w:sz w:val="18"/>
          <w:szCs w:val="18"/>
        </w:rPr>
        <w:t>kehtiva pädevuse</w:t>
      </w:r>
      <w:r w:rsidR="003E0AC2" w:rsidRPr="00A62DFD">
        <w:rPr>
          <w:sz w:val="18"/>
          <w:szCs w:val="18"/>
        </w:rPr>
        <w:t xml:space="preserve"> lõppemiseni on </w:t>
      </w:r>
      <w:r w:rsidR="008D0940" w:rsidRPr="00A62DFD">
        <w:rPr>
          <w:sz w:val="18"/>
          <w:szCs w:val="18"/>
        </w:rPr>
        <w:t xml:space="preserve">vähem kui 6 kuud </w:t>
      </w:r>
      <w:r w:rsidRPr="00A62DFD">
        <w:rPr>
          <w:sz w:val="18"/>
          <w:szCs w:val="18"/>
        </w:rPr>
        <w:t xml:space="preserve">või residentuuri lõpetamisest on möödas </w:t>
      </w:r>
      <w:r w:rsidR="008A68CE" w:rsidRPr="00A62DFD">
        <w:rPr>
          <w:sz w:val="18"/>
          <w:szCs w:val="18"/>
        </w:rPr>
        <w:t xml:space="preserve">vähemalt </w:t>
      </w:r>
      <w:r w:rsidR="00FD2FA0" w:rsidRPr="00A62DFD">
        <w:rPr>
          <w:sz w:val="18"/>
          <w:szCs w:val="18"/>
        </w:rPr>
        <w:t xml:space="preserve">4,5 </w:t>
      </w:r>
      <w:r w:rsidRPr="00A62DFD">
        <w:rPr>
          <w:sz w:val="18"/>
          <w:szCs w:val="18"/>
        </w:rPr>
        <w:t>aastat.</w:t>
      </w:r>
      <w:r w:rsidRPr="00CF25C0">
        <w:rPr>
          <w:sz w:val="18"/>
          <w:szCs w:val="18"/>
        </w:rPr>
        <w:t> </w:t>
      </w:r>
      <w:r w:rsidR="00097B31" w:rsidRPr="00CF25C0">
        <w:rPr>
          <w:sz w:val="18"/>
          <w:szCs w:val="18"/>
        </w:rPr>
        <w:t xml:space="preserve"> </w:t>
      </w:r>
    </w:p>
    <w:p w14:paraId="77126EDA" w14:textId="7E22CF5C" w:rsidR="00291A15" w:rsidRPr="00CF25C0" w:rsidRDefault="00291A15" w:rsidP="00097B31">
      <w:pPr>
        <w:jc w:val="both"/>
        <w:rPr>
          <w:sz w:val="18"/>
          <w:szCs w:val="18"/>
        </w:rPr>
      </w:pPr>
      <w:r w:rsidRPr="00CF25C0">
        <w:rPr>
          <w:sz w:val="18"/>
          <w:szCs w:val="18"/>
        </w:rPr>
        <w:t xml:space="preserve">Pädevuse hindamine toimub </w:t>
      </w:r>
      <w:r w:rsidR="00923145" w:rsidRPr="00CF25C0">
        <w:rPr>
          <w:sz w:val="18"/>
          <w:szCs w:val="18"/>
        </w:rPr>
        <w:t xml:space="preserve">üldjuhul </w:t>
      </w:r>
      <w:r w:rsidRPr="00CF25C0">
        <w:rPr>
          <w:sz w:val="18"/>
          <w:szCs w:val="18"/>
        </w:rPr>
        <w:t>dokumentide alusel.</w:t>
      </w:r>
      <w:r w:rsidR="0066614B">
        <w:rPr>
          <w:sz w:val="18"/>
          <w:szCs w:val="18"/>
        </w:rPr>
        <w:t xml:space="preserve"> </w:t>
      </w:r>
      <w:r w:rsidRPr="00CF25C0">
        <w:rPr>
          <w:sz w:val="18"/>
          <w:szCs w:val="18"/>
        </w:rPr>
        <w:t>Pädevuse hindamisel arvestatakse praktilist töökogemust ja erialast enesetäiendust (täiendkoolitust).</w:t>
      </w:r>
      <w:r w:rsidR="0066614B">
        <w:rPr>
          <w:sz w:val="18"/>
          <w:szCs w:val="18"/>
        </w:rPr>
        <w:t xml:space="preserve"> </w:t>
      </w:r>
      <w:r w:rsidR="00815A49" w:rsidRPr="00CF25C0">
        <w:rPr>
          <w:sz w:val="18"/>
          <w:szCs w:val="18"/>
        </w:rPr>
        <w:t>P</w:t>
      </w:r>
      <w:r w:rsidRPr="00CF25C0">
        <w:rPr>
          <w:sz w:val="18"/>
          <w:szCs w:val="18"/>
        </w:rPr>
        <w:t xml:space="preserve">ädevuse hindamisel diferentseerimist kategooriatesse ei toimu, kvalifikatsiooni hindamisel kehtestatud </w:t>
      </w:r>
      <w:r w:rsidR="00D33951" w:rsidRPr="00CF25C0">
        <w:rPr>
          <w:sz w:val="18"/>
          <w:szCs w:val="18"/>
        </w:rPr>
        <w:t xml:space="preserve">on </w:t>
      </w:r>
      <w:r w:rsidRPr="00CF25C0">
        <w:rPr>
          <w:sz w:val="18"/>
          <w:szCs w:val="18"/>
        </w:rPr>
        <w:t>miinimumnõuded</w:t>
      </w:r>
      <w:r w:rsidR="00D33951" w:rsidRPr="00CF25C0">
        <w:rPr>
          <w:sz w:val="18"/>
          <w:szCs w:val="18"/>
        </w:rPr>
        <w:t xml:space="preserve"> – seega p</w:t>
      </w:r>
      <w:r w:rsidRPr="00CF25C0">
        <w:rPr>
          <w:sz w:val="18"/>
          <w:szCs w:val="18"/>
        </w:rPr>
        <w:t>ädevus kas on või ei ole.</w:t>
      </w:r>
    </w:p>
    <w:p w14:paraId="19338B5F" w14:textId="77777777" w:rsidR="00291A15" w:rsidRPr="00CF25C0" w:rsidRDefault="00291A15" w:rsidP="00291A15">
      <w:pPr>
        <w:rPr>
          <w:sz w:val="18"/>
          <w:szCs w:val="18"/>
        </w:rPr>
      </w:pPr>
      <w:r w:rsidRPr="00CF25C0">
        <w:rPr>
          <w:sz w:val="18"/>
          <w:szCs w:val="18"/>
        </w:rPr>
        <w:t>Pädevustunnistuse saamiseks esitatavad nõuded: </w:t>
      </w:r>
    </w:p>
    <w:p w14:paraId="01C829D9" w14:textId="3485AE53" w:rsidR="001E6BDA" w:rsidRDefault="00291A15" w:rsidP="00824E1F">
      <w:pPr>
        <w:rPr>
          <w:strike/>
          <w:sz w:val="18"/>
          <w:szCs w:val="18"/>
        </w:rPr>
      </w:pPr>
      <w:r w:rsidRPr="00CF25C0">
        <w:rPr>
          <w:b/>
          <w:bCs/>
          <w:sz w:val="18"/>
          <w:szCs w:val="18"/>
        </w:rPr>
        <w:t>1.      Praktiseerimise hindamine.</w:t>
      </w:r>
      <w:r w:rsidRPr="00CF25C0">
        <w:rPr>
          <w:sz w:val="18"/>
          <w:szCs w:val="18"/>
        </w:rPr>
        <w:t> </w:t>
      </w:r>
      <w:r w:rsidRPr="00CF25C0">
        <w:rPr>
          <w:sz w:val="18"/>
          <w:szCs w:val="18"/>
        </w:rPr>
        <w:br/>
        <w:t>1.1. Erialaseks tegevuseks loetakse: anestesioloogiline töö kitsamas tähenduses</w:t>
      </w:r>
      <w:r w:rsidR="00D14CF2" w:rsidRPr="00CF25C0">
        <w:rPr>
          <w:sz w:val="18"/>
          <w:szCs w:val="18"/>
        </w:rPr>
        <w:t xml:space="preserve"> (s.h. valuravi)</w:t>
      </w:r>
      <w:r w:rsidRPr="00CF25C0">
        <w:rPr>
          <w:sz w:val="18"/>
          <w:szCs w:val="18"/>
        </w:rPr>
        <w:t>, intensiivravi, anestesioloogi ambulatoorne vastuvõtt ja töö reanimobiili teenistuses. Erialase tegevusega on võrdsustatud: pikemaaegsed erialased täiendused, erialane teaduslik töö ja õppetöö erialal.</w:t>
      </w:r>
      <w:r w:rsidRPr="00CF25C0">
        <w:rPr>
          <w:sz w:val="18"/>
          <w:szCs w:val="18"/>
        </w:rPr>
        <w:br/>
        <w:t>1.2. Nõutav on pidev töötamine erialal, kusjuures</w:t>
      </w:r>
      <w:r w:rsidR="008F5D41" w:rsidRPr="00CF25C0">
        <w:rPr>
          <w:sz w:val="18"/>
          <w:szCs w:val="18"/>
        </w:rPr>
        <w:t xml:space="preserve"> erialase töö osakaal peab olema</w:t>
      </w:r>
      <w:r w:rsidRPr="00CF25C0">
        <w:rPr>
          <w:sz w:val="18"/>
          <w:szCs w:val="18"/>
        </w:rPr>
        <w:t xml:space="preserve"> vähemalt pool täiskoormus</w:t>
      </w:r>
      <w:r w:rsidR="00C65977" w:rsidRPr="00CF25C0">
        <w:rPr>
          <w:sz w:val="18"/>
          <w:szCs w:val="18"/>
        </w:rPr>
        <w:t>est (</w:t>
      </w:r>
      <w:r w:rsidR="001A45F3" w:rsidRPr="00CF25C0">
        <w:rPr>
          <w:sz w:val="18"/>
          <w:szCs w:val="18"/>
        </w:rPr>
        <w:t xml:space="preserve">arvestusega, et täiskoormus on  </w:t>
      </w:r>
      <w:r w:rsidR="00C65977" w:rsidRPr="00CF25C0">
        <w:rPr>
          <w:sz w:val="18"/>
          <w:szCs w:val="18"/>
        </w:rPr>
        <w:t>40 tundi nädalas)</w:t>
      </w:r>
      <w:r w:rsidRPr="00CF25C0">
        <w:rPr>
          <w:sz w:val="18"/>
          <w:szCs w:val="18"/>
        </w:rPr>
        <w:t>.</w:t>
      </w:r>
      <w:r w:rsidR="006254DA" w:rsidRPr="00CF25C0">
        <w:rPr>
          <w:sz w:val="18"/>
          <w:szCs w:val="18"/>
        </w:rPr>
        <w:t xml:space="preserve"> Pädevuse hindamise perioodi arvestamisel pikeneb hinnatav periood</w:t>
      </w:r>
      <w:r w:rsidR="00C819F0" w:rsidRPr="00CF25C0">
        <w:rPr>
          <w:sz w:val="18"/>
          <w:szCs w:val="18"/>
        </w:rPr>
        <w:t xml:space="preserve"> sünnituseelse ja -järgse puhkuse võrra. </w:t>
      </w:r>
      <w:r w:rsidRPr="00CF25C0">
        <w:rPr>
          <w:sz w:val="18"/>
          <w:szCs w:val="18"/>
        </w:rPr>
        <w:br/>
        <w:t>1.3. </w:t>
      </w:r>
      <w:r w:rsidR="00274437" w:rsidRPr="00CF25C0">
        <w:rPr>
          <w:sz w:val="18"/>
          <w:szCs w:val="18"/>
        </w:rPr>
        <w:t>Kui eriala</w:t>
      </w:r>
      <w:r w:rsidR="006B60B5" w:rsidRPr="00CF25C0">
        <w:rPr>
          <w:sz w:val="18"/>
          <w:szCs w:val="18"/>
        </w:rPr>
        <w:t>n</w:t>
      </w:r>
      <w:r w:rsidR="00274437" w:rsidRPr="00CF25C0">
        <w:rPr>
          <w:sz w:val="18"/>
          <w:szCs w:val="18"/>
        </w:rPr>
        <w:t xml:space="preserve">e töökoormuse </w:t>
      </w:r>
      <w:r w:rsidR="006B60B5" w:rsidRPr="00CF25C0">
        <w:rPr>
          <w:sz w:val="18"/>
          <w:szCs w:val="18"/>
        </w:rPr>
        <w:t>tuleneb</w:t>
      </w:r>
      <w:r w:rsidR="00274437" w:rsidRPr="00CF25C0">
        <w:rPr>
          <w:sz w:val="18"/>
          <w:szCs w:val="18"/>
        </w:rPr>
        <w:t xml:space="preserve"> a</w:t>
      </w:r>
      <w:r w:rsidR="0021601F" w:rsidRPr="00CF25C0">
        <w:rPr>
          <w:sz w:val="18"/>
          <w:szCs w:val="18"/>
        </w:rPr>
        <w:t xml:space="preserve">inult </w:t>
      </w:r>
      <w:r w:rsidR="00F71688" w:rsidRPr="00CF25C0">
        <w:rPr>
          <w:sz w:val="18"/>
          <w:szCs w:val="18"/>
        </w:rPr>
        <w:t>anestesioloogili</w:t>
      </w:r>
      <w:r w:rsidR="006B60B5" w:rsidRPr="00CF25C0">
        <w:rPr>
          <w:sz w:val="18"/>
          <w:szCs w:val="18"/>
        </w:rPr>
        <w:t>sest</w:t>
      </w:r>
      <w:r w:rsidR="00F71688" w:rsidRPr="00CF25C0">
        <w:rPr>
          <w:sz w:val="18"/>
          <w:szCs w:val="18"/>
        </w:rPr>
        <w:t xml:space="preserve"> tegevus</w:t>
      </w:r>
      <w:r w:rsidR="006B60B5" w:rsidRPr="00CF25C0">
        <w:rPr>
          <w:sz w:val="18"/>
          <w:szCs w:val="18"/>
        </w:rPr>
        <w:t>est</w:t>
      </w:r>
      <w:r w:rsidR="00700C92" w:rsidRPr="00CF25C0">
        <w:rPr>
          <w:sz w:val="18"/>
          <w:szCs w:val="18"/>
        </w:rPr>
        <w:t xml:space="preserve">, </w:t>
      </w:r>
      <w:r w:rsidR="00F71688" w:rsidRPr="00CF25C0">
        <w:rPr>
          <w:sz w:val="18"/>
          <w:szCs w:val="18"/>
        </w:rPr>
        <w:t>on</w:t>
      </w:r>
      <w:r w:rsidR="0018356B">
        <w:rPr>
          <w:sz w:val="18"/>
          <w:szCs w:val="18"/>
        </w:rPr>
        <w:t xml:space="preserve"> </w:t>
      </w:r>
      <w:r w:rsidRPr="00CF25C0">
        <w:rPr>
          <w:sz w:val="18"/>
          <w:szCs w:val="18"/>
        </w:rPr>
        <w:t>arvestatav nõutav minimaalne töömaht</w:t>
      </w:r>
      <w:r w:rsidR="00786468" w:rsidRPr="00CF25C0">
        <w:rPr>
          <w:sz w:val="18"/>
          <w:szCs w:val="18"/>
        </w:rPr>
        <w:t xml:space="preserve"> </w:t>
      </w:r>
      <w:r w:rsidRPr="00CF25C0">
        <w:rPr>
          <w:sz w:val="18"/>
          <w:szCs w:val="18"/>
        </w:rPr>
        <w:t>400 anesteesiat või 600 anesteesiatundi aastas. Kui erialase t</w:t>
      </w:r>
      <w:r w:rsidR="00003EDC" w:rsidRPr="00CF25C0">
        <w:rPr>
          <w:sz w:val="18"/>
          <w:szCs w:val="18"/>
        </w:rPr>
        <w:t>öö</w:t>
      </w:r>
      <w:r w:rsidRPr="00CF25C0">
        <w:rPr>
          <w:sz w:val="18"/>
          <w:szCs w:val="18"/>
        </w:rPr>
        <w:t xml:space="preserve">koormuse annab töötamine </w:t>
      </w:r>
      <w:r w:rsidR="00F57E37" w:rsidRPr="00CF25C0">
        <w:rPr>
          <w:sz w:val="18"/>
          <w:szCs w:val="18"/>
        </w:rPr>
        <w:t xml:space="preserve">ainult </w:t>
      </w:r>
      <w:r w:rsidRPr="00CF25C0">
        <w:rPr>
          <w:sz w:val="18"/>
          <w:szCs w:val="18"/>
        </w:rPr>
        <w:t>intensiivravis, siis on nõutav töötamine osakonnas, kus ravitakse II-III raskusastme haigeid.</w:t>
      </w:r>
      <w:r w:rsidRPr="00CF25C0">
        <w:rPr>
          <w:sz w:val="18"/>
          <w:szCs w:val="18"/>
        </w:rPr>
        <w:br/>
        <w:t xml:space="preserve">1.4. Töömahu hindamisel võetakse arvesse võimalikke erinevaid variante, mis on tingitud </w:t>
      </w:r>
      <w:r w:rsidR="00252D7B" w:rsidRPr="00CF25C0">
        <w:rPr>
          <w:sz w:val="18"/>
          <w:szCs w:val="18"/>
        </w:rPr>
        <w:t>pädevuse taotleja</w:t>
      </w:r>
      <w:r w:rsidR="008113A0" w:rsidRPr="00CF25C0">
        <w:rPr>
          <w:sz w:val="18"/>
          <w:szCs w:val="18"/>
        </w:rPr>
        <w:t xml:space="preserve"> </w:t>
      </w:r>
      <w:r w:rsidRPr="00CF25C0">
        <w:rPr>
          <w:sz w:val="18"/>
          <w:szCs w:val="18"/>
        </w:rPr>
        <w:t>töö</w:t>
      </w:r>
      <w:r w:rsidR="008113A0" w:rsidRPr="00CF25C0">
        <w:rPr>
          <w:sz w:val="18"/>
          <w:szCs w:val="18"/>
        </w:rPr>
        <w:t xml:space="preserve"> iseloomust.</w:t>
      </w:r>
      <w:r w:rsidR="008113A0" w:rsidRPr="008C507F">
        <w:rPr>
          <w:sz w:val="18"/>
          <w:szCs w:val="18"/>
        </w:rPr>
        <w:t xml:space="preserve"> </w:t>
      </w:r>
    </w:p>
    <w:p w14:paraId="272F0F51" w14:textId="19569F1C" w:rsidR="001B244C" w:rsidRPr="007B7FF2" w:rsidRDefault="00824E1F" w:rsidP="00824E1F">
      <w:pPr>
        <w:rPr>
          <w:b/>
          <w:bCs/>
          <w:sz w:val="18"/>
          <w:szCs w:val="18"/>
        </w:rPr>
      </w:pPr>
      <w:r w:rsidRPr="00CF25C0">
        <w:rPr>
          <w:b/>
          <w:bCs/>
          <w:sz w:val="18"/>
          <w:szCs w:val="18"/>
        </w:rPr>
        <w:t>2.      Täiendkoolituse hindamine.</w:t>
      </w:r>
      <w:r w:rsidRPr="00CF25C0">
        <w:rPr>
          <w:sz w:val="18"/>
          <w:szCs w:val="18"/>
        </w:rPr>
        <w:t> </w:t>
      </w:r>
      <w:r w:rsidRPr="00CF25C0">
        <w:rPr>
          <w:sz w:val="18"/>
          <w:szCs w:val="18"/>
        </w:rPr>
        <w:br/>
        <w:t>2.</w:t>
      </w:r>
      <w:r w:rsidR="009272B4" w:rsidRPr="00CF25C0">
        <w:rPr>
          <w:sz w:val="18"/>
          <w:szCs w:val="18"/>
        </w:rPr>
        <w:t>1</w:t>
      </w:r>
      <w:r w:rsidRPr="00CF25C0">
        <w:rPr>
          <w:sz w:val="18"/>
          <w:szCs w:val="18"/>
        </w:rPr>
        <w:t xml:space="preserve">. Vastavalt </w:t>
      </w:r>
      <w:r w:rsidR="007B7FF2" w:rsidRPr="00CF25C0">
        <w:rPr>
          <w:sz w:val="18"/>
          <w:szCs w:val="18"/>
        </w:rPr>
        <w:t>määrusele „</w:t>
      </w:r>
      <w:r w:rsidR="002178E0" w:rsidRPr="00CF25C0">
        <w:rPr>
          <w:sz w:val="18"/>
          <w:szCs w:val="18"/>
        </w:rPr>
        <w:t>Tervishoiuteenuste kvaliteedi ja patsiendiohutuse tagamise nõuded</w:t>
      </w:r>
      <w:r w:rsidR="007B7FF2" w:rsidRPr="00CF25C0">
        <w:rPr>
          <w:sz w:val="18"/>
          <w:szCs w:val="18"/>
        </w:rPr>
        <w:t>“</w:t>
      </w:r>
      <w:r w:rsidR="000E13A0" w:rsidRPr="00CF25C0">
        <w:rPr>
          <w:sz w:val="18"/>
          <w:szCs w:val="18"/>
        </w:rPr>
        <w:t xml:space="preserve"> </w:t>
      </w:r>
      <w:r w:rsidR="006C413E" w:rsidRPr="00CF25C0">
        <w:rPr>
          <w:sz w:val="18"/>
          <w:szCs w:val="18"/>
        </w:rPr>
        <w:t>tagab tervishoiuteenuse osutaja täistööajaga töötavale tervishoiutöötajale tööga seotud ja erialase täiendkoolitamise vähemalt 60 tunni ulatuses ühes kalendriaastas</w:t>
      </w:r>
      <w:r w:rsidRPr="00CF25C0">
        <w:rPr>
          <w:sz w:val="18"/>
          <w:szCs w:val="18"/>
        </w:rPr>
        <w:t xml:space="preserve">. Siit </w:t>
      </w:r>
      <w:r w:rsidR="002C41B7" w:rsidRPr="00CF25C0">
        <w:rPr>
          <w:sz w:val="18"/>
          <w:szCs w:val="18"/>
        </w:rPr>
        <w:t xml:space="preserve">tuleneb </w:t>
      </w:r>
      <w:r w:rsidRPr="00CF25C0">
        <w:rPr>
          <w:sz w:val="18"/>
          <w:szCs w:val="18"/>
        </w:rPr>
        <w:t>300 täienduspunkti nõue viie aasta</w:t>
      </w:r>
      <w:r w:rsidR="00C854F2" w:rsidRPr="00CF25C0">
        <w:rPr>
          <w:sz w:val="18"/>
          <w:szCs w:val="18"/>
        </w:rPr>
        <w:t>se</w:t>
      </w:r>
      <w:r w:rsidRPr="00CF25C0">
        <w:rPr>
          <w:sz w:val="18"/>
          <w:szCs w:val="18"/>
        </w:rPr>
        <w:t xml:space="preserve"> perioodi kohta.</w:t>
      </w:r>
      <w:r w:rsidR="00EA54C1" w:rsidRPr="00CF25C0">
        <w:rPr>
          <w:sz w:val="18"/>
          <w:szCs w:val="18"/>
        </w:rPr>
        <w:t xml:space="preserve"> </w:t>
      </w:r>
      <w:r w:rsidRPr="00CF25C0">
        <w:rPr>
          <w:sz w:val="18"/>
          <w:szCs w:val="18"/>
        </w:rPr>
        <w:br/>
        <w:t>2.</w:t>
      </w:r>
      <w:r w:rsidR="009272B4" w:rsidRPr="00CF25C0">
        <w:rPr>
          <w:sz w:val="18"/>
          <w:szCs w:val="18"/>
        </w:rPr>
        <w:t>2</w:t>
      </w:r>
      <w:r w:rsidRPr="00CF25C0">
        <w:rPr>
          <w:sz w:val="18"/>
          <w:szCs w:val="18"/>
        </w:rPr>
        <w:t>. Täienduspunktide kogumise võimalused</w:t>
      </w:r>
      <w:r w:rsidR="00850079" w:rsidRPr="00CF25C0">
        <w:rPr>
          <w:sz w:val="18"/>
          <w:szCs w:val="18"/>
        </w:rPr>
        <w:t xml:space="preserve"> on </w:t>
      </w:r>
      <w:r w:rsidR="001B244C" w:rsidRPr="00CF25C0">
        <w:rPr>
          <w:sz w:val="18"/>
          <w:szCs w:val="18"/>
        </w:rPr>
        <w:t xml:space="preserve">kirjas </w:t>
      </w:r>
      <w:r w:rsidR="007A40B0" w:rsidRPr="00CF25C0">
        <w:rPr>
          <w:sz w:val="18"/>
          <w:szCs w:val="18"/>
        </w:rPr>
        <w:t>T</w:t>
      </w:r>
      <w:r w:rsidR="001B244C" w:rsidRPr="00CF25C0">
        <w:rPr>
          <w:sz w:val="18"/>
          <w:szCs w:val="18"/>
        </w:rPr>
        <w:t>abelis 1</w:t>
      </w:r>
      <w:r w:rsidR="001B244C" w:rsidRPr="00CF25C0">
        <w:rPr>
          <w:sz w:val="18"/>
          <w:szCs w:val="18"/>
        </w:rPr>
        <w:br/>
        <w:t xml:space="preserve">2.3. </w:t>
      </w:r>
      <w:r w:rsidR="00F3730D" w:rsidRPr="00CF25C0">
        <w:rPr>
          <w:sz w:val="18"/>
          <w:szCs w:val="18"/>
        </w:rPr>
        <w:t>Kogutud täienduspunktid sisestada tabelitesse Lisa</w:t>
      </w:r>
      <w:r w:rsidR="007A40B0" w:rsidRPr="00CF25C0">
        <w:rPr>
          <w:sz w:val="18"/>
          <w:szCs w:val="18"/>
        </w:rPr>
        <w:t>s 1.</w:t>
      </w:r>
      <w:r w:rsidR="004F4EE0" w:rsidRPr="00CF25C0">
        <w:rPr>
          <w:sz w:val="18"/>
          <w:szCs w:val="18"/>
        </w:rPr>
        <w:t xml:space="preserve"> </w:t>
      </w:r>
      <w:r w:rsidR="004F4EE0" w:rsidRPr="00CF25C0">
        <w:rPr>
          <w:sz w:val="18"/>
          <w:szCs w:val="18"/>
        </w:rPr>
        <w:br/>
        <w:t xml:space="preserve">2.4. </w:t>
      </w:r>
      <w:r w:rsidR="008B369B" w:rsidRPr="00CF25C0">
        <w:rPr>
          <w:sz w:val="18"/>
          <w:szCs w:val="18"/>
        </w:rPr>
        <w:t xml:space="preserve">Täienduspunktide kogumisel </w:t>
      </w:r>
      <w:r w:rsidR="000F3203" w:rsidRPr="00CF25C0">
        <w:rPr>
          <w:sz w:val="18"/>
          <w:szCs w:val="18"/>
        </w:rPr>
        <w:t xml:space="preserve">peab erialaseid koolitusi olema vähemalt 90% punktidest, </w:t>
      </w:r>
      <w:r w:rsidR="00E51073" w:rsidRPr="00CF25C0">
        <w:rPr>
          <w:sz w:val="18"/>
          <w:szCs w:val="18"/>
        </w:rPr>
        <w:t xml:space="preserve">erialaga mitte seotud meditsiinilised koolitused võivad moodustada kuni 10% </w:t>
      </w:r>
      <w:r w:rsidR="000F3203" w:rsidRPr="00CF25C0">
        <w:rPr>
          <w:sz w:val="18"/>
          <w:szCs w:val="18"/>
        </w:rPr>
        <w:t>punktidest.</w:t>
      </w:r>
      <w:r w:rsidR="000F3203">
        <w:rPr>
          <w:sz w:val="18"/>
          <w:szCs w:val="18"/>
        </w:rPr>
        <w:t xml:space="preserve"> </w:t>
      </w:r>
    </w:p>
    <w:p w14:paraId="550FDE8E" w14:textId="48326807" w:rsidR="007A40B0" w:rsidRDefault="007A40B0" w:rsidP="00824E1F">
      <w:pPr>
        <w:rPr>
          <w:sz w:val="18"/>
          <w:szCs w:val="18"/>
        </w:rPr>
      </w:pPr>
      <w:r>
        <w:rPr>
          <w:sz w:val="18"/>
          <w:szCs w:val="18"/>
        </w:rPr>
        <w:t>Tabel 1</w:t>
      </w:r>
    </w:p>
    <w:tbl>
      <w:tblPr>
        <w:tblW w:w="9747" w:type="dxa"/>
        <w:tblCellMar>
          <w:top w:w="15" w:type="dxa"/>
          <w:left w:w="15" w:type="dxa"/>
          <w:bottom w:w="15" w:type="dxa"/>
          <w:right w:w="15" w:type="dxa"/>
        </w:tblCellMar>
        <w:tblLook w:val="04A0" w:firstRow="1" w:lastRow="0" w:firstColumn="1" w:lastColumn="0" w:noHBand="0" w:noVBand="1"/>
      </w:tblPr>
      <w:tblGrid>
        <w:gridCol w:w="7989"/>
        <w:gridCol w:w="1758"/>
      </w:tblGrid>
      <w:tr w:rsidR="00B34AB6" w:rsidRPr="006C34AA" w14:paraId="225C7AFA"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2CC8217B" w14:textId="796264EC" w:rsidR="0040573E" w:rsidRPr="00CF25C0" w:rsidRDefault="00B34AB6" w:rsidP="00F46ACD">
            <w:pPr>
              <w:rPr>
                <w:sz w:val="18"/>
                <w:szCs w:val="18"/>
              </w:rPr>
            </w:pPr>
            <w:r w:rsidRPr="00CF25C0">
              <w:rPr>
                <w:sz w:val="18"/>
                <w:szCs w:val="18"/>
              </w:rPr>
              <w:t>Täienduskursus</w:t>
            </w:r>
            <w:r w:rsidR="00DC26D9" w:rsidRPr="00CF25C0">
              <w:rPr>
                <w:sz w:val="18"/>
                <w:szCs w:val="18"/>
              </w:rPr>
              <w:t>*</w:t>
            </w:r>
            <w:r w:rsidR="00BB216B" w:rsidRPr="00CF25C0">
              <w:rPr>
                <w:sz w:val="18"/>
                <w:szCs w:val="18"/>
              </w:rPr>
              <w:t xml:space="preserve"> </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14B9436D" w14:textId="7239B0C5" w:rsidR="00B34AB6" w:rsidRPr="00CF25C0" w:rsidRDefault="00B34AB6" w:rsidP="00F46ACD">
            <w:pPr>
              <w:rPr>
                <w:sz w:val="18"/>
                <w:szCs w:val="18"/>
              </w:rPr>
            </w:pPr>
            <w:r w:rsidRPr="00CF25C0">
              <w:rPr>
                <w:sz w:val="18"/>
                <w:szCs w:val="18"/>
              </w:rPr>
              <w:t>1t =</w:t>
            </w:r>
            <w:r w:rsidR="00BA045D">
              <w:rPr>
                <w:sz w:val="18"/>
                <w:szCs w:val="18"/>
              </w:rPr>
              <w:t xml:space="preserve"> 1</w:t>
            </w:r>
            <w:r w:rsidRPr="00CF25C0">
              <w:rPr>
                <w:sz w:val="18"/>
                <w:szCs w:val="18"/>
              </w:rPr>
              <w:t xml:space="preserve"> </w:t>
            </w:r>
            <w:proofErr w:type="spellStart"/>
            <w:r w:rsidRPr="00CF25C0">
              <w:rPr>
                <w:sz w:val="18"/>
                <w:szCs w:val="18"/>
              </w:rPr>
              <w:t>tp</w:t>
            </w:r>
            <w:proofErr w:type="spellEnd"/>
            <w:r w:rsidR="007A13E8">
              <w:rPr>
                <w:sz w:val="18"/>
                <w:szCs w:val="18"/>
              </w:rPr>
              <w:t>*</w:t>
            </w:r>
            <w:r w:rsidRPr="00CF25C0">
              <w:rPr>
                <w:sz w:val="18"/>
                <w:szCs w:val="18"/>
              </w:rPr>
              <w:t xml:space="preserve"> </w:t>
            </w:r>
          </w:p>
        </w:tc>
      </w:tr>
      <w:tr w:rsidR="00B34AB6" w:rsidRPr="006C34AA" w14:paraId="60B76CC3"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50E67C25" w14:textId="77777777" w:rsidR="00B34AB6" w:rsidRPr="006C34AA" w:rsidRDefault="00B34AB6" w:rsidP="00F46ACD">
            <w:pPr>
              <w:rPr>
                <w:sz w:val="18"/>
                <w:szCs w:val="18"/>
              </w:rPr>
            </w:pPr>
            <w:r w:rsidRPr="006C34AA">
              <w:rPr>
                <w:sz w:val="18"/>
                <w:szCs w:val="18"/>
              </w:rPr>
              <w:t>Osalemine lektorina täiendkoolitusel</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3535818A" w14:textId="4D887ED6" w:rsidR="00B34AB6" w:rsidRPr="006C34AA" w:rsidRDefault="00B34AB6" w:rsidP="00F46ACD">
            <w:pPr>
              <w:rPr>
                <w:sz w:val="18"/>
                <w:szCs w:val="18"/>
              </w:rPr>
            </w:pPr>
            <w:r w:rsidRPr="006C34AA">
              <w:rPr>
                <w:sz w:val="18"/>
                <w:szCs w:val="18"/>
              </w:rPr>
              <w:t>1</w:t>
            </w:r>
            <w:r w:rsidR="00BA045D">
              <w:rPr>
                <w:sz w:val="18"/>
                <w:szCs w:val="18"/>
              </w:rPr>
              <w:t>t</w:t>
            </w:r>
            <w:r w:rsidRPr="006C34AA">
              <w:rPr>
                <w:sz w:val="18"/>
                <w:szCs w:val="18"/>
              </w:rPr>
              <w:t xml:space="preserve"> = 3 </w:t>
            </w:r>
            <w:proofErr w:type="spellStart"/>
            <w:r w:rsidRPr="006C34AA">
              <w:rPr>
                <w:sz w:val="18"/>
                <w:szCs w:val="18"/>
              </w:rPr>
              <w:t>tp</w:t>
            </w:r>
            <w:proofErr w:type="spellEnd"/>
          </w:p>
        </w:tc>
      </w:tr>
      <w:tr w:rsidR="00B34AB6" w:rsidRPr="006C34AA" w14:paraId="3CE051A0"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77D468AD" w14:textId="77777777" w:rsidR="00B34AB6" w:rsidRPr="006C34AA" w:rsidRDefault="00B34AB6" w:rsidP="00F46ACD">
            <w:pPr>
              <w:rPr>
                <w:sz w:val="18"/>
                <w:szCs w:val="18"/>
              </w:rPr>
            </w:pPr>
            <w:r w:rsidRPr="00E128E9">
              <w:rPr>
                <w:sz w:val="18"/>
                <w:szCs w:val="18"/>
              </w:rPr>
              <w:t>Stažeerimine töökohal </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2AC0AE02" w14:textId="00E8A360" w:rsidR="00B34AB6" w:rsidRPr="006C34AA" w:rsidRDefault="00B34AB6" w:rsidP="00F46ACD">
            <w:pPr>
              <w:rPr>
                <w:sz w:val="18"/>
                <w:szCs w:val="18"/>
              </w:rPr>
            </w:pPr>
            <w:r w:rsidRPr="006C34AA">
              <w:rPr>
                <w:sz w:val="18"/>
                <w:szCs w:val="18"/>
              </w:rPr>
              <w:t>1</w:t>
            </w:r>
            <w:r w:rsidR="00BA045D">
              <w:rPr>
                <w:sz w:val="18"/>
                <w:szCs w:val="18"/>
              </w:rPr>
              <w:t>t</w:t>
            </w:r>
            <w:r w:rsidRPr="006C34AA">
              <w:rPr>
                <w:sz w:val="18"/>
                <w:szCs w:val="18"/>
              </w:rPr>
              <w:t xml:space="preserve"> = 1 </w:t>
            </w:r>
            <w:proofErr w:type="spellStart"/>
            <w:r w:rsidRPr="006C34AA">
              <w:rPr>
                <w:sz w:val="18"/>
                <w:szCs w:val="18"/>
              </w:rPr>
              <w:t>tp</w:t>
            </w:r>
            <w:proofErr w:type="spellEnd"/>
          </w:p>
        </w:tc>
      </w:tr>
      <w:tr w:rsidR="00B34AB6" w:rsidRPr="006C34AA" w14:paraId="04DD94D5"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04A84B3C" w14:textId="77777777" w:rsidR="00B34AB6" w:rsidRPr="006C34AA" w:rsidRDefault="00B34AB6" w:rsidP="00F46ACD">
            <w:pPr>
              <w:rPr>
                <w:sz w:val="18"/>
                <w:szCs w:val="18"/>
              </w:rPr>
            </w:pPr>
            <w:r w:rsidRPr="006C34AA">
              <w:rPr>
                <w:sz w:val="18"/>
                <w:szCs w:val="18"/>
              </w:rPr>
              <w:t>Konverentsist osavõtt</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475AE3AF" w14:textId="46532575" w:rsidR="00B34AB6" w:rsidRPr="006C34AA" w:rsidRDefault="00B34AB6" w:rsidP="00F46ACD">
            <w:pPr>
              <w:rPr>
                <w:sz w:val="18"/>
                <w:szCs w:val="18"/>
              </w:rPr>
            </w:pPr>
            <w:r w:rsidRPr="006C34AA">
              <w:rPr>
                <w:sz w:val="18"/>
                <w:szCs w:val="18"/>
              </w:rPr>
              <w:t>1</w:t>
            </w:r>
            <w:r w:rsidR="00BA045D">
              <w:rPr>
                <w:sz w:val="18"/>
                <w:szCs w:val="18"/>
              </w:rPr>
              <w:t>t</w:t>
            </w:r>
            <w:r w:rsidRPr="006C34AA">
              <w:rPr>
                <w:sz w:val="18"/>
                <w:szCs w:val="18"/>
              </w:rPr>
              <w:t xml:space="preserve"> = 1 </w:t>
            </w:r>
            <w:proofErr w:type="spellStart"/>
            <w:r w:rsidRPr="006C34AA">
              <w:rPr>
                <w:sz w:val="18"/>
                <w:szCs w:val="18"/>
              </w:rPr>
              <w:t>tp</w:t>
            </w:r>
            <w:proofErr w:type="spellEnd"/>
          </w:p>
        </w:tc>
      </w:tr>
      <w:tr w:rsidR="00B34AB6" w:rsidRPr="006C34AA" w14:paraId="5A714BDB"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43A36434" w14:textId="77777777" w:rsidR="00B34AB6" w:rsidRPr="006C34AA" w:rsidRDefault="00B34AB6" w:rsidP="00F46ACD">
            <w:pPr>
              <w:rPr>
                <w:sz w:val="18"/>
                <w:szCs w:val="18"/>
              </w:rPr>
            </w:pPr>
            <w:r w:rsidRPr="006C34AA">
              <w:rPr>
                <w:sz w:val="18"/>
                <w:szCs w:val="18"/>
              </w:rPr>
              <w:t>Suuline ettekanne konverentsil</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6E47FAE6" w14:textId="77777777" w:rsidR="00B34AB6" w:rsidRPr="006C34AA" w:rsidRDefault="00B34AB6" w:rsidP="00F46ACD">
            <w:pPr>
              <w:rPr>
                <w:sz w:val="18"/>
                <w:szCs w:val="18"/>
              </w:rPr>
            </w:pPr>
            <w:r w:rsidRPr="006C34AA">
              <w:rPr>
                <w:sz w:val="18"/>
                <w:szCs w:val="18"/>
              </w:rPr>
              <w:t xml:space="preserve">15 </w:t>
            </w:r>
            <w:proofErr w:type="spellStart"/>
            <w:r w:rsidRPr="006C34AA">
              <w:rPr>
                <w:sz w:val="18"/>
                <w:szCs w:val="18"/>
              </w:rPr>
              <w:t>tp</w:t>
            </w:r>
            <w:proofErr w:type="spellEnd"/>
          </w:p>
        </w:tc>
      </w:tr>
      <w:tr w:rsidR="00B34AB6" w:rsidRPr="006C34AA" w14:paraId="49886BF5"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4777E59A" w14:textId="77777777" w:rsidR="00B34AB6" w:rsidRPr="006C34AA" w:rsidRDefault="00B34AB6" w:rsidP="00F46ACD">
            <w:pPr>
              <w:rPr>
                <w:color w:val="FF0000"/>
                <w:sz w:val="18"/>
                <w:szCs w:val="18"/>
              </w:rPr>
            </w:pPr>
            <w:r w:rsidRPr="00E128E9">
              <w:rPr>
                <w:sz w:val="18"/>
                <w:szCs w:val="18"/>
              </w:rPr>
              <w:t>Stendiettekanne konverentsil</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5DB02500" w14:textId="77777777" w:rsidR="00B34AB6" w:rsidRPr="006C34AA" w:rsidRDefault="00B34AB6" w:rsidP="00F46ACD">
            <w:pPr>
              <w:rPr>
                <w:sz w:val="18"/>
                <w:szCs w:val="18"/>
              </w:rPr>
            </w:pPr>
            <w:r w:rsidRPr="006C34AA">
              <w:rPr>
                <w:sz w:val="18"/>
                <w:szCs w:val="18"/>
              </w:rPr>
              <w:t xml:space="preserve">10 </w:t>
            </w:r>
            <w:proofErr w:type="spellStart"/>
            <w:r w:rsidRPr="006C34AA">
              <w:rPr>
                <w:sz w:val="18"/>
                <w:szCs w:val="18"/>
              </w:rPr>
              <w:t>tp</w:t>
            </w:r>
            <w:proofErr w:type="spellEnd"/>
          </w:p>
        </w:tc>
      </w:tr>
      <w:tr w:rsidR="00B34AB6" w:rsidRPr="006C34AA" w14:paraId="3546236C"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11A2729E" w14:textId="77777777" w:rsidR="00B34AB6" w:rsidRPr="006C34AA" w:rsidRDefault="00B34AB6" w:rsidP="00F46ACD">
            <w:pPr>
              <w:rPr>
                <w:sz w:val="18"/>
                <w:szCs w:val="18"/>
              </w:rPr>
            </w:pPr>
            <w:r w:rsidRPr="006C34AA">
              <w:rPr>
                <w:sz w:val="18"/>
                <w:szCs w:val="18"/>
              </w:rPr>
              <w:t>Teaduslik artikkel rahvusvahelises eelretsenseeritavas ajakirjas</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2013DE5C" w14:textId="77777777" w:rsidR="00B34AB6" w:rsidRPr="006C34AA" w:rsidRDefault="00B34AB6" w:rsidP="00F46ACD">
            <w:pPr>
              <w:rPr>
                <w:sz w:val="18"/>
                <w:szCs w:val="18"/>
              </w:rPr>
            </w:pPr>
            <w:r w:rsidRPr="006C34AA">
              <w:rPr>
                <w:sz w:val="18"/>
                <w:szCs w:val="18"/>
              </w:rPr>
              <w:t xml:space="preserve">60 </w:t>
            </w:r>
            <w:proofErr w:type="spellStart"/>
            <w:r w:rsidRPr="006C34AA">
              <w:rPr>
                <w:sz w:val="18"/>
                <w:szCs w:val="18"/>
              </w:rPr>
              <w:t>tp</w:t>
            </w:r>
            <w:proofErr w:type="spellEnd"/>
          </w:p>
        </w:tc>
      </w:tr>
      <w:tr w:rsidR="00B34AB6" w:rsidRPr="006C34AA" w14:paraId="4E77CB83"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5EC9C252" w14:textId="77777777" w:rsidR="00B34AB6" w:rsidRPr="006C34AA" w:rsidRDefault="00B34AB6" w:rsidP="00F46ACD">
            <w:pPr>
              <w:rPr>
                <w:sz w:val="18"/>
                <w:szCs w:val="18"/>
              </w:rPr>
            </w:pPr>
            <w:r w:rsidRPr="006C34AA">
              <w:rPr>
                <w:sz w:val="18"/>
                <w:szCs w:val="18"/>
              </w:rPr>
              <w:t>Teaduslik artikkel Eesti Arstis</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7D30A6B1" w14:textId="77777777" w:rsidR="00B34AB6" w:rsidRPr="006C34AA" w:rsidRDefault="00B34AB6" w:rsidP="00F46ACD">
            <w:pPr>
              <w:rPr>
                <w:sz w:val="18"/>
                <w:szCs w:val="18"/>
              </w:rPr>
            </w:pPr>
            <w:r w:rsidRPr="006C34AA">
              <w:rPr>
                <w:sz w:val="18"/>
                <w:szCs w:val="18"/>
              </w:rPr>
              <w:t xml:space="preserve">20 </w:t>
            </w:r>
            <w:proofErr w:type="spellStart"/>
            <w:r w:rsidRPr="006C34AA">
              <w:rPr>
                <w:sz w:val="18"/>
                <w:szCs w:val="18"/>
              </w:rPr>
              <w:t>tp</w:t>
            </w:r>
            <w:proofErr w:type="spellEnd"/>
          </w:p>
        </w:tc>
      </w:tr>
      <w:tr w:rsidR="00B34AB6" w:rsidRPr="006C34AA" w14:paraId="115CFBAE"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64C73A21" w14:textId="77777777" w:rsidR="00B34AB6" w:rsidRPr="006C34AA" w:rsidRDefault="00B34AB6" w:rsidP="00F46ACD">
            <w:pPr>
              <w:rPr>
                <w:sz w:val="18"/>
                <w:szCs w:val="18"/>
              </w:rPr>
            </w:pPr>
            <w:r w:rsidRPr="006C34AA">
              <w:rPr>
                <w:sz w:val="18"/>
                <w:szCs w:val="18"/>
              </w:rPr>
              <w:t>Artikkel ajakirjanduses (v.a. Eesti Arst)</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4A0DE026" w14:textId="77777777" w:rsidR="00B34AB6" w:rsidRPr="006C34AA" w:rsidRDefault="00B34AB6" w:rsidP="00F46ACD">
            <w:pPr>
              <w:rPr>
                <w:sz w:val="18"/>
                <w:szCs w:val="18"/>
              </w:rPr>
            </w:pPr>
            <w:r w:rsidRPr="006C34AA">
              <w:rPr>
                <w:sz w:val="18"/>
                <w:szCs w:val="18"/>
              </w:rPr>
              <w:t xml:space="preserve">5 </w:t>
            </w:r>
            <w:proofErr w:type="spellStart"/>
            <w:r w:rsidRPr="006C34AA">
              <w:rPr>
                <w:sz w:val="18"/>
                <w:szCs w:val="18"/>
              </w:rPr>
              <w:t>tp</w:t>
            </w:r>
            <w:proofErr w:type="spellEnd"/>
          </w:p>
        </w:tc>
      </w:tr>
      <w:tr w:rsidR="00B34AB6" w:rsidRPr="006C34AA" w14:paraId="7BE0C936"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37300EF0" w14:textId="6ED41452" w:rsidR="00B34AB6" w:rsidRPr="00E128E9" w:rsidRDefault="00B34AB6" w:rsidP="00F46ACD">
            <w:pPr>
              <w:rPr>
                <w:sz w:val="18"/>
                <w:szCs w:val="18"/>
              </w:rPr>
            </w:pPr>
            <w:r w:rsidRPr="00E128E9">
              <w:rPr>
                <w:sz w:val="18"/>
                <w:szCs w:val="18"/>
              </w:rPr>
              <w:t>Monograafia*</w:t>
            </w:r>
            <w:r w:rsidR="008B6DBB">
              <w:rPr>
                <w:sz w:val="18"/>
                <w:szCs w:val="18"/>
              </w:rPr>
              <w:t>*</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49B9E707" w14:textId="77777777" w:rsidR="00B34AB6" w:rsidRPr="006C34AA" w:rsidRDefault="00B34AB6" w:rsidP="00F46ACD">
            <w:pPr>
              <w:rPr>
                <w:sz w:val="18"/>
                <w:szCs w:val="18"/>
              </w:rPr>
            </w:pPr>
            <w:r w:rsidRPr="006C34AA">
              <w:rPr>
                <w:sz w:val="18"/>
                <w:szCs w:val="18"/>
              </w:rPr>
              <w:t xml:space="preserve">300 </w:t>
            </w:r>
            <w:proofErr w:type="spellStart"/>
            <w:r w:rsidRPr="006C34AA">
              <w:rPr>
                <w:sz w:val="18"/>
                <w:szCs w:val="18"/>
              </w:rPr>
              <w:t>tp</w:t>
            </w:r>
            <w:proofErr w:type="spellEnd"/>
          </w:p>
        </w:tc>
      </w:tr>
      <w:tr w:rsidR="007D3140" w:rsidRPr="006C34AA" w14:paraId="7A3DC6D1"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tcPr>
          <w:p w14:paraId="4C100C8B" w14:textId="2766EBE7" w:rsidR="007D3140" w:rsidRPr="00CF25C0" w:rsidRDefault="00586490" w:rsidP="00F46ACD">
            <w:pPr>
              <w:rPr>
                <w:sz w:val="18"/>
                <w:szCs w:val="18"/>
              </w:rPr>
            </w:pPr>
            <w:r w:rsidRPr="00CF25C0">
              <w:rPr>
                <w:sz w:val="18"/>
                <w:szCs w:val="18"/>
              </w:rPr>
              <w:t xml:space="preserve">Euroopa erialaorganisatsiooni </w:t>
            </w:r>
            <w:r w:rsidR="00BD48B9" w:rsidRPr="00CF25C0">
              <w:rPr>
                <w:sz w:val="18"/>
                <w:szCs w:val="18"/>
              </w:rPr>
              <w:t>diplomi omandamine</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tcPr>
          <w:p w14:paraId="1EBE011F" w14:textId="43400BB1" w:rsidR="007D3140" w:rsidRPr="00CF25C0" w:rsidRDefault="00586490" w:rsidP="00F46ACD">
            <w:pPr>
              <w:rPr>
                <w:sz w:val="18"/>
                <w:szCs w:val="18"/>
              </w:rPr>
            </w:pPr>
            <w:r w:rsidRPr="00CF25C0">
              <w:rPr>
                <w:sz w:val="18"/>
                <w:szCs w:val="18"/>
              </w:rPr>
              <w:t>60tp</w:t>
            </w:r>
          </w:p>
        </w:tc>
      </w:tr>
      <w:tr w:rsidR="00B34AB6" w:rsidRPr="006C34AA" w14:paraId="29709C5C"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79941C5E" w14:textId="77777777" w:rsidR="00B34AB6" w:rsidRPr="00E128E9" w:rsidRDefault="00B34AB6" w:rsidP="00F46ACD">
            <w:pPr>
              <w:rPr>
                <w:sz w:val="18"/>
                <w:szCs w:val="18"/>
              </w:rPr>
            </w:pPr>
            <w:r w:rsidRPr="00E128E9">
              <w:rPr>
                <w:sz w:val="18"/>
                <w:szCs w:val="18"/>
              </w:rPr>
              <w:t>Doktoriväitekiri</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421136D0" w14:textId="77777777" w:rsidR="00B34AB6" w:rsidRPr="006C34AA" w:rsidRDefault="00B34AB6" w:rsidP="00F46ACD">
            <w:pPr>
              <w:rPr>
                <w:sz w:val="18"/>
                <w:szCs w:val="18"/>
              </w:rPr>
            </w:pPr>
            <w:r w:rsidRPr="006C34AA">
              <w:rPr>
                <w:sz w:val="18"/>
                <w:szCs w:val="18"/>
              </w:rPr>
              <w:t xml:space="preserve">300 </w:t>
            </w:r>
            <w:proofErr w:type="spellStart"/>
            <w:r w:rsidRPr="006C34AA">
              <w:rPr>
                <w:sz w:val="18"/>
                <w:szCs w:val="18"/>
              </w:rPr>
              <w:t>tp</w:t>
            </w:r>
            <w:proofErr w:type="spellEnd"/>
          </w:p>
        </w:tc>
      </w:tr>
      <w:tr w:rsidR="00B34AB6" w:rsidRPr="006C34AA" w14:paraId="70E8718D" w14:textId="77777777" w:rsidTr="00F46ACD">
        <w:trPr>
          <w:trHeight w:val="18"/>
        </w:trPr>
        <w:tc>
          <w:tcPr>
            <w:tcW w:w="798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602B443F" w14:textId="591C762A" w:rsidR="00B34AB6" w:rsidRPr="006C34AA" w:rsidRDefault="00B34AB6" w:rsidP="00F46ACD">
            <w:pPr>
              <w:rPr>
                <w:sz w:val="18"/>
                <w:szCs w:val="18"/>
              </w:rPr>
            </w:pPr>
            <w:r w:rsidRPr="006C34AA">
              <w:rPr>
                <w:sz w:val="18"/>
                <w:szCs w:val="18"/>
              </w:rPr>
              <w:t>Osalemine üleriigilisi standardeid/tegevusjuhiseid/õigusakte välja töötavates töögruppides **</w:t>
            </w:r>
            <w:r w:rsidR="008B6DBB">
              <w:rPr>
                <w:sz w:val="18"/>
                <w:szCs w:val="18"/>
              </w:rPr>
              <w:t>*</w:t>
            </w:r>
          </w:p>
        </w:tc>
        <w:tc>
          <w:tcPr>
            <w:tcW w:w="1758"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vAlign w:val="center"/>
            <w:hideMark/>
          </w:tcPr>
          <w:p w14:paraId="76E60205" w14:textId="77777777" w:rsidR="00B34AB6" w:rsidRPr="006C34AA" w:rsidRDefault="00B34AB6" w:rsidP="00F46ACD">
            <w:pPr>
              <w:rPr>
                <w:sz w:val="18"/>
                <w:szCs w:val="18"/>
              </w:rPr>
            </w:pPr>
            <w:r w:rsidRPr="006C34AA">
              <w:rPr>
                <w:sz w:val="18"/>
                <w:szCs w:val="18"/>
              </w:rPr>
              <w:t xml:space="preserve">20 </w:t>
            </w:r>
            <w:proofErr w:type="spellStart"/>
            <w:r w:rsidRPr="006C34AA">
              <w:rPr>
                <w:sz w:val="18"/>
                <w:szCs w:val="18"/>
              </w:rPr>
              <w:t>tp</w:t>
            </w:r>
            <w:proofErr w:type="spellEnd"/>
          </w:p>
        </w:tc>
      </w:tr>
    </w:tbl>
    <w:p w14:paraId="2107EBF0" w14:textId="36A2059B" w:rsidR="008B6DBB" w:rsidRDefault="00824E1F" w:rsidP="002C5AE1">
      <w:pPr>
        <w:rPr>
          <w:sz w:val="18"/>
          <w:szCs w:val="18"/>
        </w:rPr>
      </w:pPr>
      <w:r w:rsidRPr="00824E1F">
        <w:rPr>
          <w:sz w:val="18"/>
          <w:szCs w:val="18"/>
        </w:rPr>
        <w:t xml:space="preserve">* </w:t>
      </w:r>
      <w:r w:rsidR="009272B4" w:rsidRPr="00824E1F">
        <w:rPr>
          <w:sz w:val="18"/>
          <w:szCs w:val="18"/>
        </w:rPr>
        <w:t xml:space="preserve">Koolituse mahu </w:t>
      </w:r>
      <w:r w:rsidR="009272B4" w:rsidRPr="00CF25C0">
        <w:rPr>
          <w:sz w:val="18"/>
          <w:szCs w:val="18"/>
        </w:rPr>
        <w:t>hindamisel on Eestis kasutusel</w:t>
      </w:r>
      <w:r w:rsidR="009272B4" w:rsidRPr="00CF25C0">
        <w:rPr>
          <w:strike/>
          <w:sz w:val="18"/>
          <w:szCs w:val="18"/>
        </w:rPr>
        <w:t>e</w:t>
      </w:r>
      <w:r w:rsidR="009272B4" w:rsidRPr="00CF25C0">
        <w:rPr>
          <w:sz w:val="18"/>
          <w:szCs w:val="18"/>
        </w:rPr>
        <w:t xml:space="preserve"> täienduspunkti mõiste: üks täienduspunkt võrdub ühe akadeemilise tunniga (45 minutit). </w:t>
      </w:r>
      <w:r w:rsidR="00513ADC" w:rsidRPr="00CF25C0">
        <w:rPr>
          <w:sz w:val="18"/>
          <w:szCs w:val="18"/>
        </w:rPr>
        <w:t xml:space="preserve">Täienduskursusel saadud täienduspunkte arvestatakse </w:t>
      </w:r>
      <w:r w:rsidR="008F3808" w:rsidRPr="00CF25C0">
        <w:rPr>
          <w:sz w:val="18"/>
          <w:szCs w:val="18"/>
        </w:rPr>
        <w:t>vastavalt akadeemilistele tundidele (</w:t>
      </w:r>
      <w:r w:rsidR="00826AED" w:rsidRPr="00CF25C0">
        <w:rPr>
          <w:sz w:val="18"/>
          <w:szCs w:val="18"/>
        </w:rPr>
        <w:t>enamasti Eesti</w:t>
      </w:r>
      <w:r w:rsidR="00A16A09" w:rsidRPr="00CF25C0">
        <w:rPr>
          <w:sz w:val="18"/>
          <w:szCs w:val="18"/>
        </w:rPr>
        <w:t>-</w:t>
      </w:r>
      <w:r w:rsidR="00826AED" w:rsidRPr="00CF25C0">
        <w:rPr>
          <w:sz w:val="18"/>
          <w:szCs w:val="18"/>
        </w:rPr>
        <w:t>sisesed koolitused, kus 1</w:t>
      </w:r>
      <w:r w:rsidR="009272B4" w:rsidRPr="00CF25C0">
        <w:rPr>
          <w:sz w:val="18"/>
          <w:szCs w:val="18"/>
        </w:rPr>
        <w:t>tp</w:t>
      </w:r>
      <w:r w:rsidR="00826AED" w:rsidRPr="00CF25C0">
        <w:rPr>
          <w:sz w:val="18"/>
          <w:szCs w:val="18"/>
        </w:rPr>
        <w:t>=45min)</w:t>
      </w:r>
      <w:r w:rsidR="008E475A" w:rsidRPr="00CF25C0">
        <w:rPr>
          <w:sz w:val="18"/>
          <w:szCs w:val="18"/>
        </w:rPr>
        <w:t xml:space="preserve"> või </w:t>
      </w:r>
      <w:r w:rsidR="00E15583" w:rsidRPr="00CF25C0">
        <w:rPr>
          <w:sz w:val="18"/>
          <w:szCs w:val="18"/>
        </w:rPr>
        <w:t>vastavalt täienduskursuse</w:t>
      </w:r>
      <w:r w:rsidR="00BC579D" w:rsidRPr="00CF25C0">
        <w:rPr>
          <w:sz w:val="18"/>
          <w:szCs w:val="18"/>
        </w:rPr>
        <w:t xml:space="preserve"> </w:t>
      </w:r>
      <w:r w:rsidR="00E15583" w:rsidRPr="00CF25C0">
        <w:rPr>
          <w:sz w:val="18"/>
          <w:szCs w:val="18"/>
        </w:rPr>
        <w:t>diplomile märgitud koolitusmahu</w:t>
      </w:r>
      <w:r w:rsidR="00BC579D" w:rsidRPr="00CF25C0">
        <w:rPr>
          <w:sz w:val="18"/>
          <w:szCs w:val="18"/>
        </w:rPr>
        <w:t xml:space="preserve"> täienduspunktide</w:t>
      </w:r>
      <w:r w:rsidR="00E15583" w:rsidRPr="00CF25C0">
        <w:rPr>
          <w:sz w:val="18"/>
          <w:szCs w:val="18"/>
        </w:rPr>
        <w:t>le või CME punktidele</w:t>
      </w:r>
      <w:r w:rsidRPr="00824E1F">
        <w:rPr>
          <w:sz w:val="18"/>
          <w:szCs w:val="18"/>
        </w:rPr>
        <w:br/>
        <w:t>**</w:t>
      </w:r>
      <w:r w:rsidR="008B6DBB" w:rsidRPr="008B6DBB">
        <w:rPr>
          <w:sz w:val="18"/>
          <w:szCs w:val="18"/>
        </w:rPr>
        <w:t xml:space="preserve"> </w:t>
      </w:r>
      <w:r w:rsidR="008D3E5A" w:rsidRPr="00824E1F">
        <w:rPr>
          <w:sz w:val="18"/>
          <w:szCs w:val="18"/>
        </w:rPr>
        <w:t>Autorite kollektiivi korral jagunevad punktid autorite vahel.</w:t>
      </w:r>
      <w:r w:rsidR="008B6DBB" w:rsidRPr="00824E1F">
        <w:rPr>
          <w:sz w:val="18"/>
          <w:szCs w:val="18"/>
        </w:rPr>
        <w:br/>
      </w:r>
      <w:r w:rsidR="008D3E5A">
        <w:rPr>
          <w:sz w:val="18"/>
          <w:szCs w:val="18"/>
        </w:rPr>
        <w:t>***</w:t>
      </w:r>
      <w:r w:rsidR="008D3E5A" w:rsidRPr="008D3E5A">
        <w:rPr>
          <w:sz w:val="18"/>
          <w:szCs w:val="18"/>
        </w:rPr>
        <w:t xml:space="preserve"> </w:t>
      </w:r>
      <w:r w:rsidR="008D3E5A" w:rsidRPr="00824E1F">
        <w:rPr>
          <w:sz w:val="18"/>
          <w:szCs w:val="18"/>
        </w:rPr>
        <w:t>Täienduspunktid omistatakse kui väljatöötatud dokument on jõustunud</w:t>
      </w:r>
    </w:p>
    <w:p w14:paraId="15E72B5B" w14:textId="77777777" w:rsidR="002948FD" w:rsidRDefault="002948FD" w:rsidP="00824E1F">
      <w:pPr>
        <w:rPr>
          <w:sz w:val="18"/>
          <w:szCs w:val="18"/>
        </w:rPr>
      </w:pPr>
    </w:p>
    <w:p w14:paraId="530EC864" w14:textId="77777777" w:rsidR="002948FD" w:rsidRDefault="002948FD" w:rsidP="00824E1F">
      <w:pPr>
        <w:rPr>
          <w:sz w:val="18"/>
          <w:szCs w:val="18"/>
        </w:rPr>
      </w:pPr>
    </w:p>
    <w:sectPr w:rsidR="00294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3B61"/>
    <w:multiLevelType w:val="hybridMultilevel"/>
    <w:tmpl w:val="892A83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9FA5FCF"/>
    <w:multiLevelType w:val="hybridMultilevel"/>
    <w:tmpl w:val="D6283654"/>
    <w:lvl w:ilvl="0" w:tplc="D364532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F7F7A0D"/>
    <w:multiLevelType w:val="hybridMultilevel"/>
    <w:tmpl w:val="06AC4FA2"/>
    <w:lvl w:ilvl="0" w:tplc="5DA85ECA">
      <w:start w:val="1"/>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55770273">
    <w:abstractNumId w:val="1"/>
  </w:num>
  <w:num w:numId="2" w16cid:durableId="223301514">
    <w:abstractNumId w:val="2"/>
  </w:num>
  <w:num w:numId="3" w16cid:durableId="206748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76"/>
    <w:rsid w:val="00003EDC"/>
    <w:rsid w:val="0002091C"/>
    <w:rsid w:val="00021D06"/>
    <w:rsid w:val="00043ABE"/>
    <w:rsid w:val="00097B31"/>
    <w:rsid w:val="000B7497"/>
    <w:rsid w:val="000C39B8"/>
    <w:rsid w:val="000C61EE"/>
    <w:rsid w:val="000D5248"/>
    <w:rsid w:val="000D7024"/>
    <w:rsid w:val="000E13A0"/>
    <w:rsid w:val="000F3203"/>
    <w:rsid w:val="001118A9"/>
    <w:rsid w:val="00126714"/>
    <w:rsid w:val="001676BC"/>
    <w:rsid w:val="00172B7F"/>
    <w:rsid w:val="00180AB1"/>
    <w:rsid w:val="0018356B"/>
    <w:rsid w:val="0018581A"/>
    <w:rsid w:val="001A2A0E"/>
    <w:rsid w:val="001A45F3"/>
    <w:rsid w:val="001B244C"/>
    <w:rsid w:val="001B3348"/>
    <w:rsid w:val="001E6BDA"/>
    <w:rsid w:val="001F6B97"/>
    <w:rsid w:val="0021601F"/>
    <w:rsid w:val="002178E0"/>
    <w:rsid w:val="00224164"/>
    <w:rsid w:val="00224E58"/>
    <w:rsid w:val="00232230"/>
    <w:rsid w:val="002377F1"/>
    <w:rsid w:val="00252D7B"/>
    <w:rsid w:val="00256A3A"/>
    <w:rsid w:val="00274437"/>
    <w:rsid w:val="0027471A"/>
    <w:rsid w:val="00275E46"/>
    <w:rsid w:val="00285066"/>
    <w:rsid w:val="00291A15"/>
    <w:rsid w:val="002948DD"/>
    <w:rsid w:val="002948FD"/>
    <w:rsid w:val="00295B78"/>
    <w:rsid w:val="002A7F57"/>
    <w:rsid w:val="002B2C02"/>
    <w:rsid w:val="002C1BDB"/>
    <w:rsid w:val="002C41B7"/>
    <w:rsid w:val="002C5AE1"/>
    <w:rsid w:val="002D4DF8"/>
    <w:rsid w:val="002D56A6"/>
    <w:rsid w:val="002D5F20"/>
    <w:rsid w:val="002E22DA"/>
    <w:rsid w:val="002E79CD"/>
    <w:rsid w:val="002F6837"/>
    <w:rsid w:val="00305B5C"/>
    <w:rsid w:val="00311607"/>
    <w:rsid w:val="003504D1"/>
    <w:rsid w:val="00394128"/>
    <w:rsid w:val="003A2A4E"/>
    <w:rsid w:val="003C738A"/>
    <w:rsid w:val="003D697A"/>
    <w:rsid w:val="003D7B09"/>
    <w:rsid w:val="003E0AC2"/>
    <w:rsid w:val="0040001E"/>
    <w:rsid w:val="00402F32"/>
    <w:rsid w:val="0040573E"/>
    <w:rsid w:val="004402D1"/>
    <w:rsid w:val="00473FC1"/>
    <w:rsid w:val="00476715"/>
    <w:rsid w:val="004A16A1"/>
    <w:rsid w:val="004B3A38"/>
    <w:rsid w:val="004B4F57"/>
    <w:rsid w:val="004D7AF0"/>
    <w:rsid w:val="004F3749"/>
    <w:rsid w:val="004F4EE0"/>
    <w:rsid w:val="00500FF4"/>
    <w:rsid w:val="00504ED8"/>
    <w:rsid w:val="00513ADC"/>
    <w:rsid w:val="0051705E"/>
    <w:rsid w:val="005523E7"/>
    <w:rsid w:val="00562BC1"/>
    <w:rsid w:val="00577ED9"/>
    <w:rsid w:val="00581919"/>
    <w:rsid w:val="00586490"/>
    <w:rsid w:val="005A1757"/>
    <w:rsid w:val="005F09DD"/>
    <w:rsid w:val="005F6979"/>
    <w:rsid w:val="00601478"/>
    <w:rsid w:val="006254DA"/>
    <w:rsid w:val="00626EF3"/>
    <w:rsid w:val="00646D68"/>
    <w:rsid w:val="00647732"/>
    <w:rsid w:val="00664D6C"/>
    <w:rsid w:val="0066614B"/>
    <w:rsid w:val="00691539"/>
    <w:rsid w:val="006B60B5"/>
    <w:rsid w:val="006C413E"/>
    <w:rsid w:val="006D5D6E"/>
    <w:rsid w:val="00700C92"/>
    <w:rsid w:val="00724C79"/>
    <w:rsid w:val="00730735"/>
    <w:rsid w:val="00734079"/>
    <w:rsid w:val="007663C4"/>
    <w:rsid w:val="00786468"/>
    <w:rsid w:val="00786831"/>
    <w:rsid w:val="007A13E8"/>
    <w:rsid w:val="007A40B0"/>
    <w:rsid w:val="007B7FF2"/>
    <w:rsid w:val="007D3140"/>
    <w:rsid w:val="007F394A"/>
    <w:rsid w:val="007F5336"/>
    <w:rsid w:val="007F7998"/>
    <w:rsid w:val="008113A0"/>
    <w:rsid w:val="00814BDF"/>
    <w:rsid w:val="00815A49"/>
    <w:rsid w:val="00824E1F"/>
    <w:rsid w:val="00826AED"/>
    <w:rsid w:val="00841F9F"/>
    <w:rsid w:val="00850079"/>
    <w:rsid w:val="008942D1"/>
    <w:rsid w:val="008953BB"/>
    <w:rsid w:val="008A294B"/>
    <w:rsid w:val="008A68CE"/>
    <w:rsid w:val="008A6BA7"/>
    <w:rsid w:val="008B369B"/>
    <w:rsid w:val="008B5ADB"/>
    <w:rsid w:val="008B6DBB"/>
    <w:rsid w:val="008B7118"/>
    <w:rsid w:val="008C507F"/>
    <w:rsid w:val="008D0940"/>
    <w:rsid w:val="008D3E5A"/>
    <w:rsid w:val="008E475A"/>
    <w:rsid w:val="008F3808"/>
    <w:rsid w:val="008F57FE"/>
    <w:rsid w:val="008F5D41"/>
    <w:rsid w:val="00911307"/>
    <w:rsid w:val="00923145"/>
    <w:rsid w:val="009272B4"/>
    <w:rsid w:val="00941061"/>
    <w:rsid w:val="00943855"/>
    <w:rsid w:val="00947B5F"/>
    <w:rsid w:val="00952605"/>
    <w:rsid w:val="00954549"/>
    <w:rsid w:val="00972094"/>
    <w:rsid w:val="00977013"/>
    <w:rsid w:val="0099169B"/>
    <w:rsid w:val="009B77F7"/>
    <w:rsid w:val="009C0156"/>
    <w:rsid w:val="00A00505"/>
    <w:rsid w:val="00A070AD"/>
    <w:rsid w:val="00A16A09"/>
    <w:rsid w:val="00A42FD2"/>
    <w:rsid w:val="00A539E7"/>
    <w:rsid w:val="00A56603"/>
    <w:rsid w:val="00A57B40"/>
    <w:rsid w:val="00A62DFD"/>
    <w:rsid w:val="00A84EB3"/>
    <w:rsid w:val="00A970DD"/>
    <w:rsid w:val="00AA05A7"/>
    <w:rsid w:val="00AB5DA9"/>
    <w:rsid w:val="00AC7D76"/>
    <w:rsid w:val="00AD5292"/>
    <w:rsid w:val="00AF46E8"/>
    <w:rsid w:val="00AF728C"/>
    <w:rsid w:val="00B16568"/>
    <w:rsid w:val="00B21848"/>
    <w:rsid w:val="00B23467"/>
    <w:rsid w:val="00B2793F"/>
    <w:rsid w:val="00B33E0C"/>
    <w:rsid w:val="00B34AB6"/>
    <w:rsid w:val="00B36C81"/>
    <w:rsid w:val="00B448C3"/>
    <w:rsid w:val="00B457EC"/>
    <w:rsid w:val="00B6238E"/>
    <w:rsid w:val="00B76625"/>
    <w:rsid w:val="00B77E45"/>
    <w:rsid w:val="00BA045D"/>
    <w:rsid w:val="00BA7701"/>
    <w:rsid w:val="00BB216B"/>
    <w:rsid w:val="00BC38E1"/>
    <w:rsid w:val="00BC579D"/>
    <w:rsid w:val="00BD083C"/>
    <w:rsid w:val="00BD3CDD"/>
    <w:rsid w:val="00BD48B9"/>
    <w:rsid w:val="00C11078"/>
    <w:rsid w:val="00C13414"/>
    <w:rsid w:val="00C40253"/>
    <w:rsid w:val="00C45109"/>
    <w:rsid w:val="00C505CE"/>
    <w:rsid w:val="00C516DA"/>
    <w:rsid w:val="00C65977"/>
    <w:rsid w:val="00C819F0"/>
    <w:rsid w:val="00C854F2"/>
    <w:rsid w:val="00CF01ED"/>
    <w:rsid w:val="00CF25C0"/>
    <w:rsid w:val="00D14BED"/>
    <w:rsid w:val="00D14CF2"/>
    <w:rsid w:val="00D25653"/>
    <w:rsid w:val="00D33951"/>
    <w:rsid w:val="00D55D85"/>
    <w:rsid w:val="00D56C7E"/>
    <w:rsid w:val="00D6227F"/>
    <w:rsid w:val="00D8183D"/>
    <w:rsid w:val="00D81A68"/>
    <w:rsid w:val="00D84E93"/>
    <w:rsid w:val="00DB7D96"/>
    <w:rsid w:val="00DC26D9"/>
    <w:rsid w:val="00DD76DF"/>
    <w:rsid w:val="00DE4FA1"/>
    <w:rsid w:val="00DF0862"/>
    <w:rsid w:val="00E061D1"/>
    <w:rsid w:val="00E12858"/>
    <w:rsid w:val="00E128E9"/>
    <w:rsid w:val="00E15583"/>
    <w:rsid w:val="00E25F9A"/>
    <w:rsid w:val="00E407BB"/>
    <w:rsid w:val="00E42B66"/>
    <w:rsid w:val="00E45067"/>
    <w:rsid w:val="00E51073"/>
    <w:rsid w:val="00E5349A"/>
    <w:rsid w:val="00E80F25"/>
    <w:rsid w:val="00E946AE"/>
    <w:rsid w:val="00EA54C1"/>
    <w:rsid w:val="00EB3A37"/>
    <w:rsid w:val="00EC25D0"/>
    <w:rsid w:val="00ED3AD9"/>
    <w:rsid w:val="00F14EE9"/>
    <w:rsid w:val="00F3730D"/>
    <w:rsid w:val="00F45625"/>
    <w:rsid w:val="00F46ACD"/>
    <w:rsid w:val="00F57E37"/>
    <w:rsid w:val="00F71688"/>
    <w:rsid w:val="00F93130"/>
    <w:rsid w:val="00F938DD"/>
    <w:rsid w:val="00F949E9"/>
    <w:rsid w:val="00F951DB"/>
    <w:rsid w:val="00FC3BF2"/>
    <w:rsid w:val="00FD2FA0"/>
    <w:rsid w:val="00FD7322"/>
    <w:rsid w:val="00FE6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4F8D"/>
  <w15:chartTrackingRefBased/>
  <w15:docId w15:val="{685240AD-5A48-4B0A-908E-A3747F01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C7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C7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C7D7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C7D7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C7D7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C7D7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C7D7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C7D7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C7D7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C7D7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C7D7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C7D7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C7D7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C7D7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C7D7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C7D7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C7D7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C7D7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C7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C7D7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C7D7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C7D7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C7D76"/>
    <w:pPr>
      <w:spacing w:before="160"/>
      <w:jc w:val="center"/>
    </w:pPr>
    <w:rPr>
      <w:i/>
      <w:iCs/>
      <w:color w:val="404040" w:themeColor="text1" w:themeTint="BF"/>
    </w:rPr>
  </w:style>
  <w:style w:type="character" w:customStyle="1" w:styleId="TsitaatMrk">
    <w:name w:val="Tsitaat Märk"/>
    <w:basedOn w:val="Liguvaikefont"/>
    <w:link w:val="Tsitaat"/>
    <w:uiPriority w:val="29"/>
    <w:rsid w:val="00AC7D76"/>
    <w:rPr>
      <w:i/>
      <w:iCs/>
      <w:color w:val="404040" w:themeColor="text1" w:themeTint="BF"/>
    </w:rPr>
  </w:style>
  <w:style w:type="paragraph" w:styleId="Loendilik">
    <w:name w:val="List Paragraph"/>
    <w:basedOn w:val="Normaallaad"/>
    <w:uiPriority w:val="34"/>
    <w:qFormat/>
    <w:rsid w:val="00AC7D76"/>
    <w:pPr>
      <w:ind w:left="720"/>
      <w:contextualSpacing/>
    </w:pPr>
  </w:style>
  <w:style w:type="character" w:styleId="Selgeltmrgatavrhutus">
    <w:name w:val="Intense Emphasis"/>
    <w:basedOn w:val="Liguvaikefont"/>
    <w:uiPriority w:val="21"/>
    <w:qFormat/>
    <w:rsid w:val="00AC7D76"/>
    <w:rPr>
      <w:i/>
      <w:iCs/>
      <w:color w:val="0F4761" w:themeColor="accent1" w:themeShade="BF"/>
    </w:rPr>
  </w:style>
  <w:style w:type="paragraph" w:styleId="Selgeltmrgatavtsitaat">
    <w:name w:val="Intense Quote"/>
    <w:basedOn w:val="Normaallaad"/>
    <w:next w:val="Normaallaad"/>
    <w:link w:val="SelgeltmrgatavtsitaatMrk"/>
    <w:uiPriority w:val="30"/>
    <w:qFormat/>
    <w:rsid w:val="00AC7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C7D76"/>
    <w:rPr>
      <w:i/>
      <w:iCs/>
      <w:color w:val="0F4761" w:themeColor="accent1" w:themeShade="BF"/>
    </w:rPr>
  </w:style>
  <w:style w:type="character" w:styleId="Selgeltmrgatavviide">
    <w:name w:val="Intense Reference"/>
    <w:basedOn w:val="Liguvaikefont"/>
    <w:uiPriority w:val="32"/>
    <w:qFormat/>
    <w:rsid w:val="00AC7D76"/>
    <w:rPr>
      <w:b/>
      <w:bCs/>
      <w:smallCaps/>
      <w:color w:val="0F4761" w:themeColor="accent1" w:themeShade="BF"/>
      <w:spacing w:val="5"/>
    </w:rPr>
  </w:style>
  <w:style w:type="character" w:styleId="Hperlink">
    <w:name w:val="Hyperlink"/>
    <w:basedOn w:val="Liguvaikefont"/>
    <w:uiPriority w:val="99"/>
    <w:unhideWhenUsed/>
    <w:rsid w:val="00AC7D76"/>
    <w:rPr>
      <w:color w:val="467886" w:themeColor="hyperlink"/>
      <w:u w:val="single"/>
    </w:rPr>
  </w:style>
  <w:style w:type="character" w:styleId="Lahendamatamainimine">
    <w:name w:val="Unresolved Mention"/>
    <w:basedOn w:val="Liguvaikefont"/>
    <w:uiPriority w:val="99"/>
    <w:semiHidden/>
    <w:unhideWhenUsed/>
    <w:rsid w:val="00AC7D76"/>
    <w:rPr>
      <w:color w:val="605E5C"/>
      <w:shd w:val="clear" w:color="auto" w:fill="E1DFDD"/>
    </w:rPr>
  </w:style>
  <w:style w:type="character" w:styleId="Kommentaariviide">
    <w:name w:val="annotation reference"/>
    <w:basedOn w:val="Liguvaikefont"/>
    <w:uiPriority w:val="99"/>
    <w:semiHidden/>
    <w:unhideWhenUsed/>
    <w:rsid w:val="00577ED9"/>
    <w:rPr>
      <w:sz w:val="16"/>
      <w:szCs w:val="16"/>
    </w:rPr>
  </w:style>
  <w:style w:type="paragraph" w:styleId="Kommentaaritekst">
    <w:name w:val="annotation text"/>
    <w:basedOn w:val="Normaallaad"/>
    <w:link w:val="KommentaaritekstMrk"/>
    <w:uiPriority w:val="99"/>
    <w:unhideWhenUsed/>
    <w:rsid w:val="00577ED9"/>
    <w:pPr>
      <w:spacing w:line="240" w:lineRule="auto"/>
    </w:pPr>
    <w:rPr>
      <w:sz w:val="20"/>
      <w:szCs w:val="20"/>
    </w:rPr>
  </w:style>
  <w:style w:type="character" w:customStyle="1" w:styleId="KommentaaritekstMrk">
    <w:name w:val="Kommentaari tekst Märk"/>
    <w:basedOn w:val="Liguvaikefont"/>
    <w:link w:val="Kommentaaritekst"/>
    <w:uiPriority w:val="99"/>
    <w:rsid w:val="00577ED9"/>
    <w:rPr>
      <w:sz w:val="20"/>
      <w:szCs w:val="20"/>
    </w:rPr>
  </w:style>
  <w:style w:type="paragraph" w:styleId="Kommentaariteema">
    <w:name w:val="annotation subject"/>
    <w:basedOn w:val="Kommentaaritekst"/>
    <w:next w:val="Kommentaaritekst"/>
    <w:link w:val="KommentaariteemaMrk"/>
    <w:uiPriority w:val="99"/>
    <w:semiHidden/>
    <w:unhideWhenUsed/>
    <w:rsid w:val="00577ED9"/>
    <w:rPr>
      <w:b/>
      <w:bCs/>
    </w:rPr>
  </w:style>
  <w:style w:type="character" w:customStyle="1" w:styleId="KommentaariteemaMrk">
    <w:name w:val="Kommentaari teema Märk"/>
    <w:basedOn w:val="KommentaaritekstMrk"/>
    <w:link w:val="Kommentaariteema"/>
    <w:uiPriority w:val="99"/>
    <w:semiHidden/>
    <w:rsid w:val="00577E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3759">
      <w:bodyDiv w:val="1"/>
      <w:marLeft w:val="0"/>
      <w:marRight w:val="0"/>
      <w:marTop w:val="0"/>
      <w:marBottom w:val="0"/>
      <w:divBdr>
        <w:top w:val="none" w:sz="0" w:space="0" w:color="auto"/>
        <w:left w:val="none" w:sz="0" w:space="0" w:color="auto"/>
        <w:bottom w:val="none" w:sz="0" w:space="0" w:color="auto"/>
        <w:right w:val="none" w:sz="0" w:space="0" w:color="auto"/>
      </w:divBdr>
    </w:div>
    <w:div w:id="231160018">
      <w:bodyDiv w:val="1"/>
      <w:marLeft w:val="0"/>
      <w:marRight w:val="0"/>
      <w:marTop w:val="0"/>
      <w:marBottom w:val="0"/>
      <w:divBdr>
        <w:top w:val="none" w:sz="0" w:space="0" w:color="auto"/>
        <w:left w:val="none" w:sz="0" w:space="0" w:color="auto"/>
        <w:bottom w:val="none" w:sz="0" w:space="0" w:color="auto"/>
        <w:right w:val="none" w:sz="0" w:space="0" w:color="auto"/>
      </w:divBdr>
      <w:divsChild>
        <w:div w:id="871454908">
          <w:marLeft w:val="0"/>
          <w:marRight w:val="0"/>
          <w:marTop w:val="0"/>
          <w:marBottom w:val="285"/>
          <w:divBdr>
            <w:top w:val="none" w:sz="0" w:space="0" w:color="auto"/>
            <w:left w:val="none" w:sz="0" w:space="0" w:color="auto"/>
            <w:bottom w:val="none" w:sz="0" w:space="0" w:color="auto"/>
            <w:right w:val="none" w:sz="0" w:space="0" w:color="auto"/>
          </w:divBdr>
          <w:divsChild>
            <w:div w:id="247616085">
              <w:marLeft w:val="0"/>
              <w:marRight w:val="0"/>
              <w:marTop w:val="0"/>
              <w:marBottom w:val="0"/>
              <w:divBdr>
                <w:top w:val="none" w:sz="0" w:space="0" w:color="auto"/>
                <w:left w:val="none" w:sz="0" w:space="0" w:color="auto"/>
                <w:bottom w:val="none" w:sz="0" w:space="0" w:color="auto"/>
                <w:right w:val="none" w:sz="0" w:space="0" w:color="auto"/>
              </w:divBdr>
            </w:div>
          </w:divsChild>
        </w:div>
        <w:div w:id="1331562790">
          <w:marLeft w:val="0"/>
          <w:marRight w:val="0"/>
          <w:marTop w:val="0"/>
          <w:marBottom w:val="0"/>
          <w:divBdr>
            <w:top w:val="none" w:sz="0" w:space="0" w:color="auto"/>
            <w:left w:val="none" w:sz="0" w:space="0" w:color="auto"/>
            <w:bottom w:val="none" w:sz="0" w:space="0" w:color="auto"/>
            <w:right w:val="none" w:sz="0" w:space="0" w:color="auto"/>
          </w:divBdr>
        </w:div>
      </w:divsChild>
    </w:div>
    <w:div w:id="524441469">
      <w:bodyDiv w:val="1"/>
      <w:marLeft w:val="0"/>
      <w:marRight w:val="0"/>
      <w:marTop w:val="0"/>
      <w:marBottom w:val="0"/>
      <w:divBdr>
        <w:top w:val="none" w:sz="0" w:space="0" w:color="auto"/>
        <w:left w:val="none" w:sz="0" w:space="0" w:color="auto"/>
        <w:bottom w:val="none" w:sz="0" w:space="0" w:color="auto"/>
        <w:right w:val="none" w:sz="0" w:space="0" w:color="auto"/>
      </w:divBdr>
    </w:div>
    <w:div w:id="584001209">
      <w:bodyDiv w:val="1"/>
      <w:marLeft w:val="0"/>
      <w:marRight w:val="0"/>
      <w:marTop w:val="0"/>
      <w:marBottom w:val="0"/>
      <w:divBdr>
        <w:top w:val="none" w:sz="0" w:space="0" w:color="auto"/>
        <w:left w:val="none" w:sz="0" w:space="0" w:color="auto"/>
        <w:bottom w:val="none" w:sz="0" w:space="0" w:color="auto"/>
        <w:right w:val="none" w:sz="0" w:space="0" w:color="auto"/>
      </w:divBdr>
    </w:div>
    <w:div w:id="714277485">
      <w:bodyDiv w:val="1"/>
      <w:marLeft w:val="0"/>
      <w:marRight w:val="0"/>
      <w:marTop w:val="0"/>
      <w:marBottom w:val="0"/>
      <w:divBdr>
        <w:top w:val="none" w:sz="0" w:space="0" w:color="auto"/>
        <w:left w:val="none" w:sz="0" w:space="0" w:color="auto"/>
        <w:bottom w:val="none" w:sz="0" w:space="0" w:color="auto"/>
        <w:right w:val="none" w:sz="0" w:space="0" w:color="auto"/>
      </w:divBdr>
    </w:div>
    <w:div w:id="747270138">
      <w:bodyDiv w:val="1"/>
      <w:marLeft w:val="0"/>
      <w:marRight w:val="0"/>
      <w:marTop w:val="0"/>
      <w:marBottom w:val="0"/>
      <w:divBdr>
        <w:top w:val="none" w:sz="0" w:space="0" w:color="auto"/>
        <w:left w:val="none" w:sz="0" w:space="0" w:color="auto"/>
        <w:bottom w:val="none" w:sz="0" w:space="0" w:color="auto"/>
        <w:right w:val="none" w:sz="0" w:space="0" w:color="auto"/>
      </w:divBdr>
      <w:divsChild>
        <w:div w:id="186994086">
          <w:marLeft w:val="0"/>
          <w:marRight w:val="0"/>
          <w:marTop w:val="0"/>
          <w:marBottom w:val="285"/>
          <w:divBdr>
            <w:top w:val="none" w:sz="0" w:space="0" w:color="auto"/>
            <w:left w:val="none" w:sz="0" w:space="0" w:color="auto"/>
            <w:bottom w:val="none" w:sz="0" w:space="0" w:color="auto"/>
            <w:right w:val="none" w:sz="0" w:space="0" w:color="auto"/>
          </w:divBdr>
          <w:divsChild>
            <w:div w:id="1076823638">
              <w:marLeft w:val="0"/>
              <w:marRight w:val="0"/>
              <w:marTop w:val="0"/>
              <w:marBottom w:val="0"/>
              <w:divBdr>
                <w:top w:val="none" w:sz="0" w:space="0" w:color="auto"/>
                <w:left w:val="none" w:sz="0" w:space="0" w:color="auto"/>
                <w:bottom w:val="none" w:sz="0" w:space="0" w:color="auto"/>
                <w:right w:val="none" w:sz="0" w:space="0" w:color="auto"/>
              </w:divBdr>
            </w:div>
          </w:divsChild>
        </w:div>
        <w:div w:id="1776706011">
          <w:marLeft w:val="0"/>
          <w:marRight w:val="0"/>
          <w:marTop w:val="0"/>
          <w:marBottom w:val="0"/>
          <w:divBdr>
            <w:top w:val="none" w:sz="0" w:space="0" w:color="auto"/>
            <w:left w:val="none" w:sz="0" w:space="0" w:color="auto"/>
            <w:bottom w:val="none" w:sz="0" w:space="0" w:color="auto"/>
            <w:right w:val="none" w:sz="0" w:space="0" w:color="auto"/>
          </w:divBdr>
        </w:div>
      </w:divsChild>
    </w:div>
    <w:div w:id="817723876">
      <w:bodyDiv w:val="1"/>
      <w:marLeft w:val="0"/>
      <w:marRight w:val="0"/>
      <w:marTop w:val="0"/>
      <w:marBottom w:val="0"/>
      <w:divBdr>
        <w:top w:val="none" w:sz="0" w:space="0" w:color="auto"/>
        <w:left w:val="none" w:sz="0" w:space="0" w:color="auto"/>
        <w:bottom w:val="none" w:sz="0" w:space="0" w:color="auto"/>
        <w:right w:val="none" w:sz="0" w:space="0" w:color="auto"/>
      </w:divBdr>
    </w:div>
    <w:div w:id="858851767">
      <w:bodyDiv w:val="1"/>
      <w:marLeft w:val="0"/>
      <w:marRight w:val="0"/>
      <w:marTop w:val="0"/>
      <w:marBottom w:val="0"/>
      <w:divBdr>
        <w:top w:val="none" w:sz="0" w:space="0" w:color="auto"/>
        <w:left w:val="none" w:sz="0" w:space="0" w:color="auto"/>
        <w:bottom w:val="none" w:sz="0" w:space="0" w:color="auto"/>
        <w:right w:val="none" w:sz="0" w:space="0" w:color="auto"/>
      </w:divBdr>
    </w:div>
    <w:div w:id="925573146">
      <w:bodyDiv w:val="1"/>
      <w:marLeft w:val="0"/>
      <w:marRight w:val="0"/>
      <w:marTop w:val="0"/>
      <w:marBottom w:val="0"/>
      <w:divBdr>
        <w:top w:val="none" w:sz="0" w:space="0" w:color="auto"/>
        <w:left w:val="none" w:sz="0" w:space="0" w:color="auto"/>
        <w:bottom w:val="none" w:sz="0" w:space="0" w:color="auto"/>
        <w:right w:val="none" w:sz="0" w:space="0" w:color="auto"/>
      </w:divBdr>
    </w:div>
    <w:div w:id="996298420">
      <w:bodyDiv w:val="1"/>
      <w:marLeft w:val="0"/>
      <w:marRight w:val="0"/>
      <w:marTop w:val="0"/>
      <w:marBottom w:val="0"/>
      <w:divBdr>
        <w:top w:val="none" w:sz="0" w:space="0" w:color="auto"/>
        <w:left w:val="none" w:sz="0" w:space="0" w:color="auto"/>
        <w:bottom w:val="none" w:sz="0" w:space="0" w:color="auto"/>
        <w:right w:val="none" w:sz="0" w:space="0" w:color="auto"/>
      </w:divBdr>
    </w:div>
    <w:div w:id="1409111643">
      <w:bodyDiv w:val="1"/>
      <w:marLeft w:val="0"/>
      <w:marRight w:val="0"/>
      <w:marTop w:val="0"/>
      <w:marBottom w:val="0"/>
      <w:divBdr>
        <w:top w:val="none" w:sz="0" w:space="0" w:color="auto"/>
        <w:left w:val="none" w:sz="0" w:space="0" w:color="auto"/>
        <w:bottom w:val="none" w:sz="0" w:space="0" w:color="auto"/>
        <w:right w:val="none" w:sz="0" w:space="0" w:color="auto"/>
      </w:divBdr>
    </w:div>
    <w:div w:id="1594430893">
      <w:bodyDiv w:val="1"/>
      <w:marLeft w:val="0"/>
      <w:marRight w:val="0"/>
      <w:marTop w:val="0"/>
      <w:marBottom w:val="0"/>
      <w:divBdr>
        <w:top w:val="none" w:sz="0" w:space="0" w:color="auto"/>
        <w:left w:val="none" w:sz="0" w:space="0" w:color="auto"/>
        <w:bottom w:val="none" w:sz="0" w:space="0" w:color="auto"/>
        <w:right w:val="none" w:sz="0" w:space="0" w:color="auto"/>
      </w:divBdr>
    </w:div>
    <w:div w:id="1873225593">
      <w:bodyDiv w:val="1"/>
      <w:marLeft w:val="0"/>
      <w:marRight w:val="0"/>
      <w:marTop w:val="0"/>
      <w:marBottom w:val="0"/>
      <w:divBdr>
        <w:top w:val="none" w:sz="0" w:space="0" w:color="auto"/>
        <w:left w:val="none" w:sz="0" w:space="0" w:color="auto"/>
        <w:bottom w:val="none" w:sz="0" w:space="0" w:color="auto"/>
        <w:right w:val="none" w:sz="0" w:space="0" w:color="auto"/>
      </w:divBdr>
      <w:divsChild>
        <w:div w:id="125661873">
          <w:marLeft w:val="0"/>
          <w:marRight w:val="0"/>
          <w:marTop w:val="0"/>
          <w:marBottom w:val="285"/>
          <w:divBdr>
            <w:top w:val="none" w:sz="0" w:space="0" w:color="auto"/>
            <w:left w:val="none" w:sz="0" w:space="0" w:color="auto"/>
            <w:bottom w:val="none" w:sz="0" w:space="0" w:color="auto"/>
            <w:right w:val="none" w:sz="0" w:space="0" w:color="auto"/>
          </w:divBdr>
          <w:divsChild>
            <w:div w:id="152184254">
              <w:marLeft w:val="0"/>
              <w:marRight w:val="0"/>
              <w:marTop w:val="0"/>
              <w:marBottom w:val="0"/>
              <w:divBdr>
                <w:top w:val="none" w:sz="0" w:space="0" w:color="auto"/>
                <w:left w:val="none" w:sz="0" w:space="0" w:color="auto"/>
                <w:bottom w:val="none" w:sz="0" w:space="0" w:color="auto"/>
                <w:right w:val="none" w:sz="0" w:space="0" w:color="auto"/>
              </w:divBdr>
            </w:div>
          </w:divsChild>
        </w:div>
        <w:div w:id="381908900">
          <w:marLeft w:val="0"/>
          <w:marRight w:val="0"/>
          <w:marTop w:val="0"/>
          <w:marBottom w:val="0"/>
          <w:divBdr>
            <w:top w:val="none" w:sz="0" w:space="0" w:color="auto"/>
            <w:left w:val="none" w:sz="0" w:space="0" w:color="auto"/>
            <w:bottom w:val="none" w:sz="0" w:space="0" w:color="auto"/>
            <w:right w:val="none" w:sz="0" w:space="0" w:color="auto"/>
          </w:divBdr>
        </w:div>
      </w:divsChild>
    </w:div>
    <w:div w:id="1935936463">
      <w:bodyDiv w:val="1"/>
      <w:marLeft w:val="0"/>
      <w:marRight w:val="0"/>
      <w:marTop w:val="0"/>
      <w:marBottom w:val="0"/>
      <w:divBdr>
        <w:top w:val="none" w:sz="0" w:space="0" w:color="auto"/>
        <w:left w:val="none" w:sz="0" w:space="0" w:color="auto"/>
        <w:bottom w:val="none" w:sz="0" w:space="0" w:color="auto"/>
        <w:right w:val="none" w:sz="0" w:space="0" w:color="auto"/>
      </w:divBdr>
    </w:div>
    <w:div w:id="1982465898">
      <w:bodyDiv w:val="1"/>
      <w:marLeft w:val="0"/>
      <w:marRight w:val="0"/>
      <w:marTop w:val="0"/>
      <w:marBottom w:val="0"/>
      <w:divBdr>
        <w:top w:val="none" w:sz="0" w:space="0" w:color="auto"/>
        <w:left w:val="none" w:sz="0" w:space="0" w:color="auto"/>
        <w:bottom w:val="none" w:sz="0" w:space="0" w:color="auto"/>
        <w:right w:val="none" w:sz="0" w:space="0" w:color="auto"/>
      </w:divBdr>
      <w:divsChild>
        <w:div w:id="1361858875">
          <w:marLeft w:val="0"/>
          <w:marRight w:val="0"/>
          <w:marTop w:val="0"/>
          <w:marBottom w:val="285"/>
          <w:divBdr>
            <w:top w:val="none" w:sz="0" w:space="0" w:color="auto"/>
            <w:left w:val="none" w:sz="0" w:space="0" w:color="auto"/>
            <w:bottom w:val="none" w:sz="0" w:space="0" w:color="auto"/>
            <w:right w:val="none" w:sz="0" w:space="0" w:color="auto"/>
          </w:divBdr>
          <w:divsChild>
            <w:div w:id="732044472">
              <w:marLeft w:val="0"/>
              <w:marRight w:val="0"/>
              <w:marTop w:val="0"/>
              <w:marBottom w:val="0"/>
              <w:divBdr>
                <w:top w:val="none" w:sz="0" w:space="0" w:color="auto"/>
                <w:left w:val="none" w:sz="0" w:space="0" w:color="auto"/>
                <w:bottom w:val="none" w:sz="0" w:space="0" w:color="auto"/>
                <w:right w:val="none" w:sz="0" w:space="0" w:color="auto"/>
              </w:divBdr>
            </w:div>
          </w:divsChild>
        </w:div>
        <w:div w:id="1471291938">
          <w:marLeft w:val="0"/>
          <w:marRight w:val="0"/>
          <w:marTop w:val="0"/>
          <w:marBottom w:val="0"/>
          <w:divBdr>
            <w:top w:val="none" w:sz="0" w:space="0" w:color="auto"/>
            <w:left w:val="none" w:sz="0" w:space="0" w:color="auto"/>
            <w:bottom w:val="none" w:sz="0" w:space="0" w:color="auto"/>
            <w:right w:val="none" w:sz="0" w:space="0" w:color="auto"/>
          </w:divBdr>
        </w:div>
      </w:divsChild>
    </w:div>
    <w:div w:id="20428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nes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dyn=129102024001&amp;id=108102024019!pr3b2lg9" TargetMode="External"/><Relationship Id="rId5" Type="http://schemas.openxmlformats.org/officeDocument/2006/relationships/hyperlink" Target="mailto:info@anest.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1126</Words>
  <Characters>6534</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Vijar</dc:creator>
  <cp:keywords/>
  <dc:description/>
  <cp:lastModifiedBy>Kerli Vijar</cp:lastModifiedBy>
  <cp:revision>13</cp:revision>
  <dcterms:created xsi:type="dcterms:W3CDTF">2025-06-16T18:06:00Z</dcterms:created>
  <dcterms:modified xsi:type="dcterms:W3CDTF">2025-06-25T08:11:00Z</dcterms:modified>
</cp:coreProperties>
</file>